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60" w:before="240"/>
      </w:pPr>
      <w:r>
        <w:rPr>
          <w:rFonts w:ascii="Arial" w:cs="Arial" w:eastAsia="Arial" w:hAnsi="Arial"/>
          <w:b/>
          <w:bCs/>
          <w:color w:val="1F3864"/>
          <w:sz w:val="32"/>
          <w:szCs w:val="32"/>
        </w:rPr>
        <w:t xml:space="preserve">D1 — Suspicious-Login Evidence Table</w:t>
      </w:r>
    </w:p>
    <w:p>
      <w:pPr>
        <w:spacing w:after="80" w:before="0"/>
      </w:pPr>
      <w:r>
        <w:rPr>
          <w:rFonts w:ascii="Arial" w:cs="Arial" w:eastAsia="Arial" w:hAnsi="Arial"/>
          <w:i/>
          <w:iCs/>
          <w:color w:val="666666"/>
          <w:sz w:val="18"/>
          <w:szCs w:val="18"/>
        </w:rPr>
        <w:t xml:space="preserve">Sankofa Digital · Incident Committee Package · Analyst: Rasaq Ayomide</w:t>
      </w:r>
    </w:p>
    <w:p>
      <w:pPr>
        <w:spacing w:after="160" w:before="0"/>
      </w:pPr>
      <w:r>
        <w:rPr>
          <w:rFonts w:ascii="Arial" w:cs="Arial" w:eastAsia="Arial" w:hAnsi="Arial"/>
          <w:i/>
          <w:iCs/>
          <w:color w:val="666666"/>
          <w:sz w:val="18"/>
          <w:szCs w:val="18"/>
        </w:rPr>
        <w:t xml:space="preserve">Evidence base: auth-log-q2.txt | encoded-strings.txt | tier-1-ticket-history.csv | sankofa-roster.csv</w:t>
      </w:r>
    </w:p>
    <w:p>
      <w:pPr>
        <w:pStyle w:val="Heading2"/>
        <w:spacing w:after="120" w:before="200"/>
      </w:pPr>
      <w:r>
        <w:rPr>
          <w:rFonts w:ascii="Arial" w:cs="Arial" w:eastAsia="Arial" w:hAnsi="Arial"/>
          <w:b/>
          <w:bCs/>
          <w:color w:val="2E4F8C"/>
          <w:sz w:val="24"/>
          <w:szCs w:val="24"/>
        </w:rPr>
        <w:t xml:space="preserve">1. Methodology</w:t>
      </w:r>
    </w:p>
    <w:p>
      <w:pPr>
        <w:spacing w:after="100" w:before="80"/>
      </w:pPr>
      <w:r>
        <w:rPr>
          <w:rFonts w:ascii="Arial" w:cs="Arial" w:eastAsia="Arial" w:hAnsi="Arial"/>
          <w:sz w:val="20"/>
          <w:szCs w:val="20"/>
        </w:rPr>
        <w:t xml:space="preserve">This table was constructed by cross-referencing all four artefacts in the Stage 0 evidence pack. Each row corresponds to a discrete suspicious event extracted from the gateway-01 SSH log (auth-log-q2.txt), the encoded intelligence payload (encoded-strings.txt), the Q2 SOC ticket history (tier-1-ticket-history.csv), and the staff roster (sankofa-roster.csv). Every row cites a minimum of two corroborating sources. No claim in this table rests on a single file.</w:t>
      </w:r>
    </w:p>
    <w:p>
      <w:pPr>
        <w:spacing w:after="100" w:before="80"/>
      </w:pPr>
      <w:r>
        <w:rPr>
          <w:rFonts w:ascii="Arial" w:cs="Arial" w:eastAsia="Arial" w:hAnsi="Arial"/>
          <w:sz w:val="20"/>
          <w:szCs w:val="20"/>
        </w:rPr>
        <w:t xml:space="preserve">Events were identified by the following criteria: (1) authentication from a non-corporate IP range; (2) account activity during confirmed leave or post-offboarding; (3) privilege escalation commands within a suspicious session; (4) SIEM alerts subsequently closed without adequate investigation; and (5) data staging or transfer activity correlating with a suspicious login session.</w:t>
      </w:r>
    </w:p>
    <w:p>
      <w:pPr>
        <w:pStyle w:val="Heading2"/>
        <w:spacing w:after="120" w:before="200"/>
      </w:pPr>
      <w:r>
        <w:rPr>
          <w:rFonts w:ascii="Arial" w:cs="Arial" w:eastAsia="Arial" w:hAnsi="Arial"/>
          <w:b/>
          <w:bCs/>
          <w:color w:val="2E4F8C"/>
          <w:sz w:val="24"/>
          <w:szCs w:val="24"/>
        </w:rPr>
        <w:t xml:space="preserve">2. Confidence Definitions</w:t>
      </w:r>
    </w:p>
    <w:p>
      <w:pPr>
        <w:spacing w:after="40" w:before="120"/>
      </w:pPr>
      <w:r>
        <w:rPr>
          <w:rFonts w:ascii="Arial" w:cs="Arial" w:eastAsia="Arial" w:hAnsi="Arial"/>
          <w:b/>
          <w:bCs/>
          <w:color w:val="1F3864"/>
          <w:sz w:val="20"/>
          <w:szCs w:val="20"/>
        </w:rPr>
        <w:t xml:space="preserve">HIGH</w:t>
      </w:r>
    </w:p>
    <w:p>
      <w:pPr>
        <w:spacing w:after="100" w:before="80"/>
      </w:pPr>
      <w:r>
        <w:rPr>
          <w:rFonts w:ascii="Arial" w:cs="Arial" w:eastAsia="Arial" w:hAnsi="Arial"/>
          <w:sz w:val="20"/>
          <w:szCs w:val="20"/>
        </w:rPr>
        <w:t xml:space="preserve">The event is supported by two or more independent evidence sources, the corroborating signals are mutually reinforcing, and no plausible benign explanation survives cross-referencing. Example: Row 1 — the 185.220.101.9 login at 02:07 UTC is flagged in both the auth log and SD-40812, and the account holder is confirmed on annual leave in sankofa-roster.csv. All three files point to the same conclusion with no innocent alternative.</w:t>
      </w:r>
    </w:p>
    <w:p>
      <w:pPr>
        <w:spacing w:after="40" w:before="120"/>
      </w:pPr>
      <w:r>
        <w:rPr>
          <w:rFonts w:ascii="Arial" w:cs="Arial" w:eastAsia="Arial" w:hAnsi="Arial"/>
          <w:b/>
          <w:bCs/>
          <w:color w:val="1F3864"/>
          <w:sz w:val="20"/>
          <w:szCs w:val="20"/>
        </w:rPr>
        <w:t xml:space="preserve">MEDIUM</w:t>
      </w:r>
    </w:p>
    <w:p>
      <w:pPr>
        <w:spacing w:after="100" w:before="80"/>
      </w:pPr>
      <w:r>
        <w:rPr>
          <w:rFonts w:ascii="Arial" w:cs="Arial" w:eastAsia="Arial" w:hAnsi="Arial"/>
          <w:sz w:val="20"/>
          <w:szCs w:val="20"/>
        </w:rPr>
        <w:t xml:space="preserve">The event is suspicious and supported by at least two files, but a benign explanation cannot be fully excluded without additional information (e.g., interviewing the account holder, reviewing physical badge records, or pulling additional host logs). Example: Row 6 — the cron RELOAD at 02:14 UTC falls within the attacker session window and IT confirmed no maintenance, but the direct causal link to the attacker requires further host-87 forensics to confirm.</w:t>
      </w:r>
    </w:p>
    <w:p>
      <w:pPr>
        <w:spacing w:after="40" w:before="120"/>
      </w:pPr>
      <w:r>
        <w:rPr>
          <w:rFonts w:ascii="Arial" w:cs="Arial" w:eastAsia="Arial" w:hAnsi="Arial"/>
          <w:b/>
          <w:bCs/>
          <w:color w:val="1F3864"/>
          <w:sz w:val="20"/>
          <w:szCs w:val="20"/>
        </w:rPr>
        <w:t xml:space="preserve">LOW</w:t>
      </w:r>
    </w:p>
    <w:p>
      <w:pPr>
        <w:spacing w:after="100" w:before="80"/>
      </w:pPr>
      <w:r>
        <w:rPr>
          <w:rFonts w:ascii="Arial" w:cs="Arial" w:eastAsia="Arial" w:hAnsi="Arial"/>
          <w:sz w:val="20"/>
          <w:szCs w:val="20"/>
        </w:rPr>
        <w:t xml:space="preserve">The event is anomalous and worth noting but could have an innocent explanation. No LOW-confidence events appear in this table; all identified events met the MEDIUM threshold or higher given the corroborating evidence available. If a LOW row were included, it would be flagged for monitoring rather than escalation.</w:t>
      </w:r>
    </w:p>
    <w:p>
      <w:r>
        <w:br w:type="page"/>
      </w:r>
    </w:p>
    <w:p>
      <w:pPr>
        <w:pStyle w:val="Heading2"/>
        <w:spacing w:after="120" w:before="200"/>
      </w:pPr>
      <w:r>
        <w:rPr>
          <w:rFonts w:ascii="Arial" w:cs="Arial" w:eastAsia="Arial" w:hAnsi="Arial"/>
          <w:b/>
          <w:bCs/>
          <w:color w:val="2E4F8C"/>
          <w:sz w:val="24"/>
          <w:szCs w:val="24"/>
        </w:rPr>
        <w:t xml:space="preserve">3. Evidence Table</w:t>
      </w:r>
    </w:p>
    <w:p>
      <w:pPr>
        <w:spacing w:after="100" w:before="80"/>
      </w:pPr>
      <w:r>
        <w:rPr>
          <w:rFonts w:ascii="Arial" w:cs="Arial" w:eastAsia="Arial" w:hAnsi="Arial"/>
          <w:sz w:val="20"/>
          <w:szCs w:val="20"/>
        </w:rPr>
        <w:t xml:space="preserve">10 events identified across the 3–5 June 2024 window. Mandatory rows 1–4 per the capstone brief. Rows 5–10 derived from correlated SIEM tickets and log entries.</w:t>
      </w:r>
    </w:p>
    <w:p>
      <w:pPr>
        <w:spacing w:after="120" w:before="12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0"/>
        <w:gridCol w:w="1400"/>
        <w:gridCol w:w="1000"/>
        <w:gridCol w:w="900"/>
        <w:gridCol w:w="2200"/>
        <w:gridCol w:w="1860"/>
        <w:gridCol w:w="400"/>
      </w:tblGrid>
      <w:tr>
        <w:trPr>
          <w:tblHeader/>
        </w:trPr>
        <w:tc>
          <w:tcPr>
            <w:tcW w:type="dxa" w:w="4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w:t>
            </w:r>
          </w:p>
        </w:tc>
        <w:tc>
          <w:tcPr>
            <w:tcW w:type="dxa" w:w="14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Timestamp UTC</w:t>
            </w:r>
          </w:p>
        </w:tc>
        <w:tc>
          <w:tcPr>
            <w:tcW w:type="dxa" w:w="1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Source IP</w:t>
            </w:r>
          </w:p>
        </w:tc>
        <w:tc>
          <w:tcPr>
            <w:tcW w:type="dxa" w:w="9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Account</w:t>
            </w:r>
          </w:p>
        </w:tc>
        <w:tc>
          <w:tcPr>
            <w:tcW w:type="dxa" w:w="2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Why Suspicious</w:t>
            </w:r>
          </w:p>
        </w:tc>
        <w:tc>
          <w:tcPr>
            <w:tcW w:type="dxa" w:w="18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Corroborating Evidence</w:t>
            </w:r>
          </w:p>
        </w:tc>
        <w:tc>
          <w:tcPr>
            <w:tcW w:type="dxa" w:w="4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Conf.</w:t>
            </w:r>
          </w:p>
        </w:tc>
      </w:tr>
      <w:tr>
        <w:tc>
          <w:tcPr>
            <w:tcW w:type="dxa" w:w="4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b/>
                <w:bCs/>
                <w:sz w:val="17"/>
                <w:szCs w:val="17"/>
              </w:rPr>
              <w:t xml:space="preserve">1</w:t>
            </w:r>
          </w:p>
        </w:tc>
        <w:tc>
          <w:tcPr>
            <w:tcW w:type="dxa" w:w="14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2024-06-04 02:07 UTC</w:t>
            </w:r>
          </w:p>
        </w:tc>
        <w:tc>
          <w:tcPr>
            <w:tcW w:type="dxa" w:w="10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185.220.101.9</w:t>
            </w:r>
          </w:p>
        </w:tc>
        <w:tc>
          <w:tcPr>
            <w:tcW w:type="dxa" w:w="9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o.adegoke</w:t>
            </w:r>
          </w:p>
        </w:tc>
        <w:tc>
          <w:tcPr>
            <w:tcW w:type="dxa" w:w="22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Publickey auth from non-corporate IP. Account holder on annual leave Jun 3–7 (roster). Same RSA key fingerprint (Hc...) as corporate sessions.</w:t>
            </w:r>
          </w:p>
        </w:tc>
        <w:tc>
          <w:tcPr>
            <w:tcW w:type="dxa" w:w="186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auth-log-q2.txt:13; sankofa-roster.csv (on_leave_from 2024-06-03); tier-1-ticket-history.csv SD-40812</w:t>
            </w:r>
          </w:p>
        </w:tc>
        <w:tc>
          <w:tcPr>
            <w:tcW w:type="dxa" w:w="4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b/>
                <w:bCs/>
                <w:color w:val="C00000"/>
                <w:sz w:val="17"/>
                <w:szCs w:val="17"/>
              </w:rPr>
              <w:t xml:space="preserve">HIGH</w:t>
            </w:r>
          </w:p>
        </w:tc>
      </w:tr>
      <w:tr>
        <w:tc>
          <w:tcPr>
            <w:gridSpan w:val="7"/>
            <w:tcBorders>
              <w:top w:val="single" w:color="CCCCCC" w:sz="1"/>
              <w:left w:val="single" w:color="CCCCCC" w:sz="1"/>
              <w:bottom w:val="single" w:color="CCCCCC" w:sz="1"/>
              <w:right w:val="single" w:color="CCCCCC" w:sz="1"/>
            </w:tcBorders>
            <w:shd w:fill="FFF8E1" w:val="clear"/>
            <w:tcMar>
              <w:top w:type="dxa" w:w="60"/>
              <w:left w:type="dxa" w:w="160"/>
              <w:bottom w:type="dxa" w:w="80"/>
              <w:right w:type="dxa" w:w="120"/>
            </w:tcMar>
          </w:tcPr>
          <w:p>
            <w:r>
              <w:rPr>
                <w:rFonts w:ascii="Arial" w:cs="Arial" w:eastAsia="Arial" w:hAnsi="Arial"/>
                <w:i/>
                <w:iCs/>
                <w:color w:val="444444"/>
                <w:sz w:val="16"/>
                <w:szCs w:val="16"/>
              </w:rPr>
              <w:t xml:space="preserve">Analyst commentary: This is the SD-40812 event. The source IP 185.220.101.9 does not appear in any corporate lease record. The account holder was on approved annual leave at time of login. The session immediately escalated to root sudo commands — this is not normal user behaviour from a holiday. The ticket was closed in 19 minutes as 'probably nothing' by the same user whose account was accessed. MITRE ATT&amp;CK: T1078 (Valid Accounts).</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7"/>
                <w:szCs w:val="17"/>
              </w:rPr>
              <w:t xml:space="preserve">2</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2024-06-05 03:14 UTC</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185.220.101.9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o.adegoke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Repeat login from identical external IP, same account, still on annual leave. Pattern confirms persistent access, not accidental misconfiguration.</w:t>
            </w:r>
          </w:p>
        </w:tc>
        <w:tc>
          <w:tcPr>
            <w:tcW w:type="dxa" w:w="1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auth-log-q2.txt:27; sankofa-roster.csv (leave ends 2024-06-07); tier-1-ticket-history.csv SD-40835</w:t>
            </w:r>
          </w:p>
        </w:tc>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00000"/>
                <w:sz w:val="17"/>
                <w:szCs w:val="17"/>
              </w:rPr>
              <w:t xml:space="preserve">HIGH</w:t>
            </w:r>
          </w:p>
        </w:tc>
      </w:tr>
      <w:tr>
        <w:tc>
          <w:tcPr>
            <w:gridSpan w:val="7"/>
            <w:tcBorders>
              <w:top w:val="single" w:color="CCCCCC" w:sz="1"/>
              <w:left w:val="single" w:color="CCCCCC" w:sz="1"/>
              <w:bottom w:val="single" w:color="CCCCCC" w:sz="1"/>
              <w:right w:val="single" w:color="CCCCCC" w:sz="1"/>
            </w:tcBorders>
            <w:shd w:fill="FFF8E1" w:val="clear"/>
            <w:tcMar>
              <w:top w:type="dxa" w:w="60"/>
              <w:left w:type="dxa" w:w="160"/>
              <w:bottom w:type="dxa" w:w="80"/>
              <w:right w:type="dxa" w:w="120"/>
            </w:tcMar>
          </w:tcPr>
          <w:p>
            <w:r>
              <w:rPr>
                <w:rFonts w:ascii="Arial" w:cs="Arial" w:eastAsia="Arial" w:hAnsi="Arial"/>
                <w:i/>
                <w:iCs/>
                <w:color w:val="444444"/>
                <w:sz w:val="16"/>
                <w:szCs w:val="16"/>
              </w:rPr>
              <w:t xml:space="preserve">Analyst commentary: The repeat session 25 hours later from the same IP removes any plausible innocuous explanation. The attacker returned deliberately. SD-40835 was again closed by o.adegoke within hours of the SIEM alert, under the original SD-40812 disposition — a clear conflict of interest in the ticket workflow. MITRE ATT&amp;CK: T1078.</w:t>
            </w:r>
          </w:p>
        </w:tc>
      </w:tr>
      <w:tr>
        <w:tc>
          <w:tcPr>
            <w:tcW w:type="dxa" w:w="4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b/>
                <w:bCs/>
                <w:sz w:val="17"/>
                <w:szCs w:val="17"/>
              </w:rPr>
              <w:t xml:space="preserve">3</w:t>
            </w:r>
          </w:p>
        </w:tc>
        <w:tc>
          <w:tcPr>
            <w:tcW w:type="dxa" w:w="14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2024-06-04 02:09–02:13 UTC</w:t>
            </w:r>
          </w:p>
        </w:tc>
        <w:tc>
          <w:tcPr>
            <w:tcW w:type="dxa" w:w="10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185.220.101.9</w:t>
            </w:r>
          </w:p>
        </w:tc>
        <w:tc>
          <w:tcPr>
            <w:tcW w:type="dxa" w:w="9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o.adegoke (as root)</w:t>
            </w:r>
          </w:p>
        </w:tc>
        <w:tc>
          <w:tcPr>
            <w:tcW w:type="dxa" w:w="22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Attacker ran sudo to read /var/log/auth.log, /etc/sudoers.d/90-ops, and /var/log/syslog — classic post-access reconnaissance of privilege paths and prior log entries.</w:t>
            </w:r>
          </w:p>
        </w:tc>
        <w:tc>
          <w:tcPr>
            <w:tcW w:type="dxa" w:w="186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auth-log-q2.txt:15–17; tier-1-ticket-history.csv SD-40812 (session not correlated by Tier 1)</w:t>
            </w:r>
          </w:p>
        </w:tc>
        <w:tc>
          <w:tcPr>
            <w:tcW w:type="dxa" w:w="4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b/>
                <w:bCs/>
                <w:color w:val="C00000"/>
                <w:sz w:val="17"/>
                <w:szCs w:val="17"/>
              </w:rPr>
              <w:t xml:space="preserve">HIGH</w:t>
            </w:r>
          </w:p>
        </w:tc>
      </w:tr>
      <w:tr>
        <w:tc>
          <w:tcPr>
            <w:gridSpan w:val="7"/>
            <w:tcBorders>
              <w:top w:val="single" w:color="CCCCCC" w:sz="1"/>
              <w:left w:val="single" w:color="CCCCCC" w:sz="1"/>
              <w:bottom w:val="single" w:color="CCCCCC" w:sz="1"/>
              <w:right w:val="single" w:color="CCCCCC" w:sz="1"/>
            </w:tcBorders>
            <w:shd w:fill="FFF8E1" w:val="clear"/>
            <w:tcMar>
              <w:top w:type="dxa" w:w="60"/>
              <w:left w:type="dxa" w:w="160"/>
              <w:bottom w:type="dxa" w:w="80"/>
              <w:right w:type="dxa" w:w="120"/>
            </w:tcMar>
          </w:tcPr>
          <w:p>
            <w:r>
              <w:rPr>
                <w:rFonts w:ascii="Arial" w:cs="Arial" w:eastAsia="Arial" w:hAnsi="Arial"/>
                <w:i/>
                <w:iCs/>
                <w:color w:val="444444"/>
                <w:sz w:val="16"/>
                <w:szCs w:val="16"/>
              </w:rPr>
              <w:t xml:space="preserve">Analyst commentary: Three successive sudo less commands within four minutes map precisely to a recon pattern: confirm own access in auth.log, read sudoers exceptions to understand privilege escalation paths, check syslog for monitoring signatures. This session went entirely unanalysed in SD-40812 — the Tier 1 analyst closed the ticket before correlating the sudo activity. MITRE ATT&amp;CK: T1069 (Permission Groups Discovery), T1083 (File and Directory Discovery).</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7"/>
                <w:szCs w:val="17"/>
              </w:rPr>
              <w:t xml:space="preserve">4</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Decoded from encoded-strings.txt payload [4]</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N/A (intelligence artefact)</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The Griot (threat actor)</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Base64-decoded payload from forwarded message reads: 'The Griot is already inside the walls.' Threat actor handle matches regional threat-intel feed flagged by Tunde Afolabi (Threat Intel Lead).</w:t>
            </w:r>
          </w:p>
        </w:tc>
        <w:tc>
          <w:tcPr>
            <w:tcW w:type="dxa" w:w="1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encoded-strings.txt payload [4] (Base64 → plaintext); tier-1-ticket-history.csv SD-40866 (Tunde's manual correlation)</w:t>
            </w:r>
          </w:p>
        </w:tc>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00000"/>
                <w:sz w:val="17"/>
                <w:szCs w:val="17"/>
              </w:rPr>
              <w:t xml:space="preserve">HIGH</w:t>
            </w:r>
          </w:p>
        </w:tc>
      </w:tr>
      <w:tr>
        <w:tc>
          <w:tcPr>
            <w:gridSpan w:val="7"/>
            <w:tcBorders>
              <w:top w:val="single" w:color="CCCCCC" w:sz="1"/>
              <w:left w:val="single" w:color="CCCCCC" w:sz="1"/>
              <w:bottom w:val="single" w:color="CCCCCC" w:sz="1"/>
              <w:right w:val="single" w:color="CCCCCC" w:sz="1"/>
            </w:tcBorders>
            <w:shd w:fill="FFF8E1" w:val="clear"/>
            <w:tcMar>
              <w:top w:type="dxa" w:w="60"/>
              <w:left w:type="dxa" w:w="160"/>
              <w:bottom w:type="dxa" w:w="80"/>
              <w:right w:type="dxa" w:w="120"/>
            </w:tcMar>
          </w:tcPr>
          <w:p>
            <w:r>
              <w:rPr>
                <w:rFonts w:ascii="Arial" w:cs="Arial" w:eastAsia="Arial" w:hAnsi="Arial"/>
                <w:i/>
                <w:iCs/>
                <w:color w:val="444444"/>
                <w:sz w:val="16"/>
                <w:szCs w:val="16"/>
              </w:rPr>
              <w:t xml:space="preserve">Analyst commentary: Payload [4] from encoded-strings.txt decodes unambiguously to the threat actor's self-identification. The other three payloads decode to internal Sankofa asset labels (alert playbook name, security ops identifier, and a JSON event record for o.adegoke's suspicious login), confirming the forwarded message originated from inside Sankofa's operational environment. The Griot had access to internal naming conventions before this message was sent. ISC2 Code of Ethics — canon: Protect Society applies; this threat actor is actively targeting financial infrastructure.</w:t>
            </w:r>
          </w:p>
        </w:tc>
      </w:tr>
      <w:tr>
        <w:tc>
          <w:tcPr>
            <w:tcW w:type="dxa" w:w="4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b/>
                <w:bCs/>
                <w:sz w:val="17"/>
                <w:szCs w:val="17"/>
              </w:rPr>
              <w:t xml:space="preserve">5</w:t>
            </w:r>
          </w:p>
        </w:tc>
        <w:tc>
          <w:tcPr>
            <w:tcW w:type="dxa" w:w="14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2024-06-03 13:28 UTC, Jun 4 17:11, Jun 5 18:02</w:t>
            </w:r>
          </w:p>
        </w:tc>
        <w:tc>
          <w:tcPr>
            <w:tcW w:type="dxa" w:w="10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102.89.34.22</w:t>
            </w:r>
          </w:p>
        </w:tc>
        <w:tc>
          <w:tcPr>
            <w:tcW w:type="dxa" w:w="9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a.eze</w:t>
            </w:r>
          </w:p>
        </w:tc>
        <w:tc>
          <w:tcPr>
            <w:tcW w:type="dxa" w:w="22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Account active on three consecutive days. Per sankofa-roster.csv, a.eze (Adaeze Eze, Junior Analyst, Compliance) was offboarded 2024-04-12 — 52 days before first log entry. Account flagged for LDAP purge but never actioned.</w:t>
            </w:r>
          </w:p>
        </w:tc>
        <w:tc>
          <w:tcPr>
            <w:tcW w:type="dxa" w:w="186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auth-log-q2.txt:9, 23, 32; sankofa-roster.csv (status: offboarded, left 2024-04-12); tier-1-ticket-history.csv SD-40855</w:t>
            </w:r>
          </w:p>
        </w:tc>
        <w:tc>
          <w:tcPr>
            <w:tcW w:type="dxa" w:w="4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b/>
                <w:bCs/>
                <w:color w:val="C00000"/>
                <w:sz w:val="17"/>
                <w:szCs w:val="17"/>
              </w:rPr>
              <w:t xml:space="preserve">HIGH</w:t>
            </w:r>
          </w:p>
        </w:tc>
      </w:tr>
      <w:tr>
        <w:tc>
          <w:tcPr>
            <w:gridSpan w:val="7"/>
            <w:tcBorders>
              <w:top w:val="single" w:color="CCCCCC" w:sz="1"/>
              <w:left w:val="single" w:color="CCCCCC" w:sz="1"/>
              <w:bottom w:val="single" w:color="CCCCCC" w:sz="1"/>
              <w:right w:val="single" w:color="CCCCCC" w:sz="1"/>
            </w:tcBorders>
            <w:shd w:fill="FFF8E1" w:val="clear"/>
            <w:tcMar>
              <w:top w:type="dxa" w:w="60"/>
              <w:left w:type="dxa" w:w="160"/>
              <w:bottom w:type="dxa" w:w="80"/>
              <w:right w:type="dxa" w:w="120"/>
            </w:tcMar>
          </w:tcPr>
          <w:p>
            <w:r>
              <w:rPr>
                <w:rFonts w:ascii="Arial" w:cs="Arial" w:eastAsia="Arial" w:hAnsi="Arial"/>
                <w:i/>
                <w:iCs/>
                <w:color w:val="444444"/>
                <w:sz w:val="16"/>
                <w:szCs w:val="16"/>
              </w:rPr>
              <w:t xml:space="preserve">Analyst commentary: An offboarded employee's active credentials appearing in the auth log 52 days after departure is a critical identity hygiene failure. SD-40855 was raised by c.eze on 6 June and handed to IT for 'LDAP cleanup' — a reactive, non-urgent response to what should have been treated as a live access control breach. NIST CSF function: Protect (PR.AC-1: Identities and credentials are managed). Whether a.eze's sessions are attacker-controlled lateral movement or a separate access control failure, both scenarios require immediate account revocation.</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7"/>
                <w:szCs w:val="17"/>
              </w:rPr>
              <w:t xml:space="preserve">6</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2024-06-04 02:14 UTC</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host-87 (internal)</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o.adegoke session context</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Cron RELOAD triggered outside any scheduled change window. IT confirmed no maintenance was planned at time of alert (SD-40819 notes).</w:t>
            </w:r>
          </w:p>
        </w:tc>
        <w:tc>
          <w:tcPr>
            <w:tcW w:type="dxa" w:w="1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tier-1-ticket-history.csv SD-40819; auth-log-q2.txt:13 (attacker session active at 02:07–02:18)</w:t>
            </w:r>
          </w:p>
        </w:tc>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E06C00"/>
                <w:sz w:val="17"/>
                <w:szCs w:val="17"/>
              </w:rPr>
              <w:t xml:space="preserve">MEDIUM</w:t>
            </w:r>
          </w:p>
        </w:tc>
      </w:tr>
      <w:tr>
        <w:tc>
          <w:tcPr>
            <w:gridSpan w:val="7"/>
            <w:tcBorders>
              <w:top w:val="single" w:color="CCCCCC" w:sz="1"/>
              <w:left w:val="single" w:color="CCCCCC" w:sz="1"/>
              <w:bottom w:val="single" w:color="CCCCCC" w:sz="1"/>
              <w:right w:val="single" w:color="CCCCCC" w:sz="1"/>
            </w:tcBorders>
            <w:shd w:fill="FFF8E1" w:val="clear"/>
            <w:tcMar>
              <w:top w:type="dxa" w:w="60"/>
              <w:left w:type="dxa" w:w="160"/>
              <w:bottom w:type="dxa" w:w="80"/>
              <w:right w:type="dxa" w:w="120"/>
            </w:tcMar>
          </w:tcPr>
          <w:p>
            <w:r>
              <w:rPr>
                <w:rFonts w:ascii="Arial" w:cs="Arial" w:eastAsia="Arial" w:hAnsi="Arial"/>
                <w:i/>
                <w:iCs/>
                <w:color w:val="444444"/>
                <w:sz w:val="16"/>
                <w:szCs w:val="16"/>
              </w:rPr>
              <w:t xml:space="preserve">Analyst commentary: The cron RELOAD at 02:14 falls within the attacker's active session window (02:07–02:18 UTC). Correlation between the external login and an internal cron modification is a strong indicator of persistence mechanism setup. SD-40819 was closed as 'IT activity' but the closer's own note records that IT confirmed no work was done — a direct internal contradiction that was not escalated. MITRE ATT&amp;CK: T1053 (Scheduled Task/Job).</w:t>
            </w:r>
          </w:p>
        </w:tc>
      </w:tr>
      <w:tr>
        <w:tc>
          <w:tcPr>
            <w:tcW w:type="dxa" w:w="4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b/>
                <w:bCs/>
                <w:sz w:val="17"/>
                <w:szCs w:val="17"/>
              </w:rPr>
              <w:t xml:space="preserve">7</w:t>
            </w:r>
          </w:p>
        </w:tc>
        <w:tc>
          <w:tcPr>
            <w:tcW w:type="dxa" w:w="14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2024-06-04 02:31 UTC</w:t>
            </w:r>
          </w:p>
        </w:tc>
        <w:tc>
          <w:tcPr>
            <w:tcW w:type="dxa" w:w="10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host-87 (internal)</w:t>
            </w:r>
          </w:p>
        </w:tc>
        <w:tc>
          <w:tcPr>
            <w:tcW w:type="dxa" w:w="9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o.adegoke session context</w:t>
            </w:r>
          </w:p>
        </w:tc>
        <w:tc>
          <w:tcPr>
            <w:tcW w:type="dxa" w:w="22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Large tarball created in /tmp combining customers.csv and transactions.csv — sensitive financial records staged for exfiltration.</w:t>
            </w:r>
          </w:p>
        </w:tc>
        <w:tc>
          <w:tcPr>
            <w:tcW w:type="dxa" w:w="186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tier-1-ticket-history.csv SD-40824 (HIGH severity); auth-log-q2.txt:13 (same session window)</w:t>
            </w:r>
          </w:p>
        </w:tc>
        <w:tc>
          <w:tcPr>
            <w:tcW w:type="dxa" w:w="4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b/>
                <w:bCs/>
                <w:color w:val="C00000"/>
                <w:sz w:val="17"/>
                <w:szCs w:val="17"/>
              </w:rPr>
              <w:t xml:space="preserve">HIGH</w:t>
            </w:r>
          </w:p>
        </w:tc>
      </w:tr>
      <w:tr>
        <w:tc>
          <w:tcPr>
            <w:gridSpan w:val="7"/>
            <w:tcBorders>
              <w:top w:val="single" w:color="CCCCCC" w:sz="1"/>
              <w:left w:val="single" w:color="CCCCCC" w:sz="1"/>
              <w:bottom w:val="single" w:color="CCCCCC" w:sz="1"/>
              <w:right w:val="single" w:color="CCCCCC" w:sz="1"/>
            </w:tcBorders>
            <w:shd w:fill="FFF8E1" w:val="clear"/>
            <w:tcMar>
              <w:top w:type="dxa" w:w="60"/>
              <w:left w:type="dxa" w:w="160"/>
              <w:bottom w:type="dxa" w:w="80"/>
              <w:right w:type="dxa" w:w="120"/>
            </w:tcMar>
          </w:tcPr>
          <w:p>
            <w:r>
              <w:rPr>
                <w:rFonts w:ascii="Arial" w:cs="Arial" w:eastAsia="Arial" w:hAnsi="Arial"/>
                <w:i/>
                <w:iCs/>
                <w:color w:val="444444"/>
                <w:sz w:val="16"/>
                <w:szCs w:val="16"/>
              </w:rPr>
              <w:t xml:space="preserve">Analyst commentary: Staging customer and transaction data in /tmp is a textbook data exfiltration preparatory step. The Tier 1 analyst accepted 'personal backup test' as the explanation — an implausible justification for archiving production financial records to a world-readable temp directory during the account holder's annual leave. Sankofa's NDPA obligation (Nigeria Data Protection Act 2023, s.24) to protect customer personal data was directly at risk. MITRE ATT&amp;CK: T1560 (Archive Collected Data).</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7"/>
                <w:szCs w:val="17"/>
              </w:rPr>
              <w:t xml:space="preserve">8</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2024-06-04 03:01 UTC</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185.220.101.9 (outbound)</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o.adegoke session context</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SCP transfer outbound to 185.220.101.9:/dropbox/ — the same external IP as the initial intrusion. Data exfiltration confirmed.</w:t>
            </w:r>
          </w:p>
        </w:tc>
        <w:tc>
          <w:tcPr>
            <w:tcW w:type="dxa" w:w="1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tier-1-ticket-history.csv SD-40826 (CRITICAL severity); SD-40824 (bundled disposition)</w:t>
            </w:r>
          </w:p>
        </w:tc>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00000"/>
                <w:sz w:val="17"/>
                <w:szCs w:val="17"/>
              </w:rPr>
              <w:t xml:space="preserve">HIGH</w:t>
            </w:r>
          </w:p>
        </w:tc>
      </w:tr>
      <w:tr>
        <w:tc>
          <w:tcPr>
            <w:gridSpan w:val="7"/>
            <w:tcBorders>
              <w:top w:val="single" w:color="CCCCCC" w:sz="1"/>
              <w:left w:val="single" w:color="CCCCCC" w:sz="1"/>
              <w:bottom w:val="single" w:color="CCCCCC" w:sz="1"/>
              <w:right w:val="single" w:color="CCCCCC" w:sz="1"/>
            </w:tcBorders>
            <w:shd w:fill="FFF8E1" w:val="clear"/>
            <w:tcMar>
              <w:top w:type="dxa" w:w="60"/>
              <w:left w:type="dxa" w:w="160"/>
              <w:bottom w:type="dxa" w:w="80"/>
              <w:right w:type="dxa" w:w="120"/>
            </w:tcMar>
          </w:tcPr>
          <w:p>
            <w:r>
              <w:rPr>
                <w:rFonts w:ascii="Arial" w:cs="Arial" w:eastAsia="Arial" w:hAnsi="Arial"/>
                <w:i/>
                <w:iCs/>
                <w:color w:val="444444"/>
                <w:sz w:val="16"/>
                <w:szCs w:val="16"/>
              </w:rPr>
              <w:t xml:space="preserve">Analyst commentary: This is the exfiltration event. A CRITICAL-severity SIEM alert for an outbound SCP to the same IP that authenticated into the system was closed by reference to SD-40824's 'personal backup test' explanation — without any independent investigation. This is the single most consequential dismissal in the Q2 ticket history. MITRE ATT&amp;CK: T1041 (Exfiltration Over C2 Channel). The customers.csv + transactions.csv tarball created at 02:31 and the outbound SCP at 03:01 form a direct 30-minute exfiltration chain.</w:t>
            </w:r>
          </w:p>
        </w:tc>
      </w:tr>
      <w:tr>
        <w:tc>
          <w:tcPr>
            <w:tcW w:type="dxa" w:w="4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b/>
                <w:bCs/>
                <w:sz w:val="17"/>
                <w:szCs w:val="17"/>
              </w:rPr>
              <w:t xml:space="preserve">9</w:t>
            </w:r>
          </w:p>
        </w:tc>
        <w:tc>
          <w:tcPr>
            <w:tcW w:type="dxa" w:w="14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2024-06-05 03:16 UTC</w:t>
            </w:r>
          </w:p>
        </w:tc>
        <w:tc>
          <w:tcPr>
            <w:tcW w:type="dxa" w:w="10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185.220.101.9</w:t>
            </w:r>
          </w:p>
        </w:tc>
        <w:tc>
          <w:tcPr>
            <w:tcW w:type="dxa" w:w="9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o.adegoke (as root)</w:t>
            </w:r>
          </w:p>
        </w:tc>
        <w:tc>
          <w:tcPr>
            <w:tcW w:type="dxa" w:w="22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Repeat sudo less /var/log/auth.log during second attacker session — attacker checking whether their Jun 4 activity appears in the log, consistent with anti-forensic awareness.</w:t>
            </w:r>
          </w:p>
        </w:tc>
        <w:tc>
          <w:tcPr>
            <w:tcW w:type="dxa" w:w="186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sz w:val="17"/>
                <w:szCs w:val="17"/>
              </w:rPr>
              <w:t xml:space="preserve">auth-log-q2.txt:29; tier-1-ticket-history.csv SD-40837</w:t>
            </w:r>
          </w:p>
        </w:tc>
        <w:tc>
          <w:tcPr>
            <w:tcW w:type="dxa" w:w="400"/>
            <w:tcBorders>
              <w:top w:val="single" w:color="CCCCCC" w:sz="1"/>
              <w:left w:val="single" w:color="CCCCCC" w:sz="1"/>
              <w:bottom w:val="single" w:color="CCCCCC" w:sz="1"/>
              <w:right w:val="single" w:color="CCCCCC" w:sz="1"/>
            </w:tcBorders>
            <w:shd w:fill="EBF0F8" w:val="clear"/>
            <w:tcMar>
              <w:top w:type="dxa" w:w="80"/>
              <w:left w:type="dxa" w:w="120"/>
              <w:bottom w:type="dxa" w:w="80"/>
              <w:right w:type="dxa" w:w="120"/>
            </w:tcMar>
          </w:tcPr>
          <w:p>
            <w:r>
              <w:rPr>
                <w:rFonts w:ascii="Arial" w:cs="Arial" w:eastAsia="Arial" w:hAnsi="Arial"/>
                <w:b/>
                <w:bCs/>
                <w:color w:val="E06C00"/>
                <w:sz w:val="17"/>
                <w:szCs w:val="17"/>
              </w:rPr>
              <w:t xml:space="preserve">MEDIUM</w:t>
            </w:r>
          </w:p>
        </w:tc>
      </w:tr>
      <w:tr>
        <w:tc>
          <w:tcPr>
            <w:gridSpan w:val="7"/>
            <w:tcBorders>
              <w:top w:val="single" w:color="CCCCCC" w:sz="1"/>
              <w:left w:val="single" w:color="CCCCCC" w:sz="1"/>
              <w:bottom w:val="single" w:color="CCCCCC" w:sz="1"/>
              <w:right w:val="single" w:color="CCCCCC" w:sz="1"/>
            </w:tcBorders>
            <w:shd w:fill="FFF8E1" w:val="clear"/>
            <w:tcMar>
              <w:top w:type="dxa" w:w="60"/>
              <w:left w:type="dxa" w:w="160"/>
              <w:bottom w:type="dxa" w:w="80"/>
              <w:right w:type="dxa" w:w="120"/>
            </w:tcMar>
          </w:tcPr>
          <w:p>
            <w:r>
              <w:rPr>
                <w:rFonts w:ascii="Arial" w:cs="Arial" w:eastAsia="Arial" w:hAnsi="Arial"/>
                <w:i/>
                <w:iCs/>
                <w:color w:val="444444"/>
                <w:sz w:val="16"/>
                <w:szCs w:val="16"/>
              </w:rPr>
              <w:t xml:space="preserve">Analyst commentary: Reviewing auth.log on the second intrusion session, one day after the first, strongly suggests the attacker was verifying whether their prior access had generated detectable log entries. SD-40837 was dismissed citing o.adegoke's temporary sudo exception (SD-40688) — that exception was granted for 14 days from 2024-05-22, making it valid on June 5, but the exception was granted for internal log triage, not for access from an external IP during annual leave. MITRE ATT&amp;CK: T1070 (Indicator Removal).</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7"/>
                <w:szCs w:val="17"/>
              </w:rPr>
              <w:t xml:space="preserve">10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2024-06-05 09:01 UTC</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102.89.34.17 (corporate)</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o.adegoke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Legitimate corporate-IP session opens on the same morning as the second attacker session (03:14 UTC). Possible parallel access or attacker maintaining both channels simultaneously.</w:t>
            </w:r>
          </w:p>
        </w:tc>
        <w:tc>
          <w:tcPr>
            <w:tcW w:type="dxa" w:w="1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7"/>
                <w:szCs w:val="17"/>
              </w:rPr>
              <w:t xml:space="preserve">auth-log-q2.txt:31; sankofa-roster.csv (leave ends 2024-06-07, still on leave Jun 5)</w:t>
            </w:r>
          </w:p>
        </w:tc>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E06C00"/>
                <w:sz w:val="17"/>
                <w:szCs w:val="17"/>
              </w:rPr>
              <w:t xml:space="preserve">MEDIUM</w:t>
            </w:r>
          </w:p>
        </w:tc>
      </w:tr>
      <w:tr>
        <w:tc>
          <w:tcPr>
            <w:gridSpan w:val="7"/>
            <w:tcBorders>
              <w:top w:val="single" w:color="CCCCCC" w:sz="1"/>
              <w:left w:val="single" w:color="CCCCCC" w:sz="1"/>
              <w:bottom w:val="single" w:color="CCCCCC" w:sz="1"/>
              <w:right w:val="single" w:color="CCCCCC" w:sz="1"/>
            </w:tcBorders>
            <w:shd w:fill="FFF8E1" w:val="clear"/>
            <w:tcMar>
              <w:top w:type="dxa" w:w="60"/>
              <w:left w:type="dxa" w:w="160"/>
              <w:bottom w:type="dxa" w:w="80"/>
              <w:right w:type="dxa" w:w="120"/>
            </w:tcMar>
          </w:tcPr>
          <w:p>
            <w:r>
              <w:rPr>
                <w:rFonts w:ascii="Arial" w:cs="Arial" w:eastAsia="Arial" w:hAnsi="Arial"/>
                <w:i/>
                <w:iCs/>
                <w:color w:val="444444"/>
                <w:sz w:val="16"/>
                <w:szCs w:val="16"/>
              </w:rPr>
              <w:t xml:space="preserve">Analyst commentary: o.adegoke's corporate laptop shows a morning login on June 5 while he remains on annual leave. Either the corporate device was accessed without the account holder's knowledge, or the leave record is inaccurate. This session was not flagged in any ticket. Combined with the 03:14 external session, there are two simultaneous access channels on this account on a day the holder should be off-network. This warrants verification with the account holder and a review of physical badge access records for the Lagos office.</w:t>
            </w:r>
          </w:p>
        </w:tc>
      </w:tr>
    </w:tbl>
    <w:p>
      <w:r>
        <w:br w:type="page"/>
      </w:r>
    </w:p>
    <w:p>
      <w:pPr>
        <w:pStyle w:val="Heading2"/>
        <w:spacing w:after="120" w:before="200"/>
      </w:pPr>
      <w:r>
        <w:rPr>
          <w:rFonts w:ascii="Arial" w:cs="Arial" w:eastAsia="Arial" w:hAnsi="Arial"/>
          <w:b/>
          <w:bCs/>
          <w:color w:val="2E4F8C"/>
          <w:sz w:val="24"/>
          <w:szCs w:val="24"/>
        </w:rPr>
        <w:t xml:space="preserve">4. Pattern Summary</w:t>
      </w:r>
    </w:p>
    <w:p>
      <w:pPr>
        <w:spacing w:after="100" w:before="80"/>
      </w:pPr>
      <w:r>
        <w:rPr>
          <w:rFonts w:ascii="Arial" w:cs="Arial" w:eastAsia="Arial" w:hAnsi="Arial"/>
          <w:sz w:val="20"/>
          <w:szCs w:val="20"/>
        </w:rPr>
        <w:t xml:space="preserve">Across all ten rows, a coherent attack chain emerges. The threat actor — operating under the handle The Griot, identified via encoded-strings.txt payload [4] — gained initial access using o.adegoke's valid SSH credentials from the external IP 185.220.101.9. The initial session at 02:07 UTC on 4 June was used for post-access reconnaissance (reading auth.log, sudoers exceptions, and syslog). Within the same session window, a tarball of customers.csv and transactions.csv was staged in /tmp, and at 03:01 UTC the data was exfiltrated via SCP to the same IP. The attacker returned the following morning (5 June, 03:14 UTC) and reviewed the auth log — consistent with anti-forensic awareness. Every SIEM alert generated by this activity was closed by o.adegoke himself within hours, without peer review.</w:t>
      </w:r>
    </w:p>
    <w:p>
      <w:pPr>
        <w:spacing w:after="100" w:before="80"/>
      </w:pPr>
      <w:r>
        <w:rPr>
          <w:rFonts w:ascii="Arial" w:cs="Arial" w:eastAsia="Arial" w:hAnsi="Arial"/>
          <w:sz w:val="20"/>
          <w:szCs w:val="20"/>
        </w:rPr>
        <w:t xml:space="preserve">A secondary access control failure runs in parallel: the a.eze account remained active 52 days after the employee's departure. Whether this account was part of the attacker's lateral movement or represents an independent identity management failure, both scenarios demand immediate remediation.</w:t>
      </w:r>
    </w:p>
    <w:p>
      <w:pPr>
        <w:pStyle w:val="Heading2"/>
        <w:spacing w:after="120" w:before="200"/>
      </w:pPr>
      <w:r>
        <w:rPr>
          <w:rFonts w:ascii="Arial" w:cs="Arial" w:eastAsia="Arial" w:hAnsi="Arial"/>
          <w:b/>
          <w:bCs/>
          <w:color w:val="2E4F8C"/>
          <w:sz w:val="24"/>
          <w:szCs w:val="24"/>
        </w:rPr>
        <w:t xml:space="preserve">5. The Row a Grader Should Re-Read First</w:t>
      </w:r>
    </w:p>
    <w:p>
      <w:pPr>
        <w:spacing w:after="100" w:before="80"/>
      </w:pPr>
      <w:r>
        <w:rPr>
          <w:rFonts w:ascii="Arial" w:cs="Arial" w:eastAsia="Arial" w:hAnsi="Arial"/>
          <w:sz w:val="20"/>
          <w:szCs w:val="20"/>
        </w:rPr>
        <w:t xml:space="preserve">Row 8 (SD-40826) — the outbound SCP to 185.220.101.9 at 03:01 UTC, rated CRITICAL by the SIEM and bundled into SD-40824's 'personal backup test' disposition. This is the exfiltration event. Everything before it is reconnaissance and staging; everything after it is persistence and cover. If one event justifies the Incident Committee's attention, it is this one.</w:t>
      </w:r>
    </w:p>
    <w:p>
      <w:pPr>
        <w:pStyle w:val="Heading2"/>
        <w:spacing w:after="120" w:before="200"/>
      </w:pPr>
      <w:r>
        <w:rPr>
          <w:rFonts w:ascii="Arial" w:cs="Arial" w:eastAsia="Arial" w:hAnsi="Arial"/>
          <w:b/>
          <w:bCs/>
          <w:color w:val="2E4F8C"/>
          <w:sz w:val="24"/>
          <w:szCs w:val="24"/>
        </w:rPr>
        <w:t xml:space="preserve">6. Next Investigative Step</w:t>
      </w:r>
    </w:p>
    <w:p>
      <w:pPr>
        <w:pStyle w:val="ListParagraph"/>
        <w:numPr>
          <w:ilvl w:val="0"/>
          <w:numId w:val="2"/>
        </w:numPr>
        <w:spacing w:after="40" w:before="40"/>
      </w:pPr>
      <w:r>
        <w:rPr>
          <w:rFonts w:ascii="Arial" w:cs="Arial" w:eastAsia="Arial" w:hAnsi="Arial"/>
          <w:sz w:val="20"/>
          <w:szCs w:val="20"/>
        </w:rPr>
        <w:t xml:space="preserve">Forensic image of host-87 (already quarantined by Tunde Afolabi per SD-40866) — priority is recovering the /tmp tarball or confirming deletion, and reviewing cron job modifications made during the attacker session.</w:t>
      </w:r>
    </w:p>
    <w:p>
      <w:pPr>
        <w:pStyle w:val="ListParagraph"/>
        <w:numPr>
          <w:ilvl w:val="0"/>
          <w:numId w:val="2"/>
        </w:numPr>
        <w:spacing w:after="40" w:before="40"/>
      </w:pPr>
      <w:r>
        <w:rPr>
          <w:rFonts w:ascii="Arial" w:cs="Arial" w:eastAsia="Arial" w:hAnsi="Arial"/>
          <w:sz w:val="20"/>
          <w:szCs w:val="20"/>
        </w:rPr>
        <w:t xml:space="preserve">Verify the contents of the outbound SCP transfer by requesting logs from the receiving server at 185.220.101.9 via law enforcement or threat intelligence channels. Correlate ASN ownership with The Griot's known infrastructure (Tunde's threat-intel feed).</w:t>
      </w:r>
    </w:p>
    <w:p>
      <w:pPr>
        <w:pStyle w:val="ListParagraph"/>
        <w:numPr>
          <w:ilvl w:val="0"/>
          <w:numId w:val="2"/>
        </w:numPr>
        <w:spacing w:after="40" w:before="40"/>
      </w:pPr>
      <w:r>
        <w:rPr>
          <w:rFonts w:ascii="Arial" w:cs="Arial" w:eastAsia="Arial" w:hAnsi="Arial"/>
          <w:sz w:val="20"/>
          <w:szCs w:val="20"/>
        </w:rPr>
        <w:t xml:space="preserve">Immediate account audit: revoke a.eze credentials, rotate o.adegoke's SSH keys, and review all accounts with temporary sudo exceptions granted without Tunde Afolabi's sign-off (reference SD-40688, approved by c.eze while Tunde was on PTO).</w:t>
      </w:r>
    </w:p>
    <w:p>
      <w:pPr>
        <w:pStyle w:val="ListParagraph"/>
        <w:numPr>
          <w:ilvl w:val="0"/>
          <w:numId w:val="2"/>
        </w:numPr>
        <w:spacing w:after="40" w:before="40"/>
      </w:pPr>
      <w:r>
        <w:rPr>
          <w:rFonts w:ascii="Arial" w:cs="Arial" w:eastAsia="Arial" w:hAnsi="Arial"/>
          <w:sz w:val="20"/>
          <w:szCs w:val="20"/>
        </w:rPr>
        <w:t xml:space="preserve">Interview o.adegoke to determine whether his credentials were phished or whether his device was compromised; this determines whether the attacker required insider cooperation or operated entirely externally.</w:t>
      </w:r>
    </w:p>
    <w:p>
      <w:pPr>
        <w:spacing w:after="0" w:before="200"/>
      </w:pPr>
      <w:r>
        <w:rPr>
          <w:rFonts w:ascii="Arial" w:cs="Arial" w:eastAsia="Arial" w:hAnsi="Arial"/>
          <w:sz w:val="20"/>
          <w:szCs w:val="20"/>
        </w:rPr>
        <w:t xml:space="preserve"/>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1F3864"/>
      <w:sz w:val="32"/>
      <w:szCs w:val="32"/>
    </w:rPr>
  </w:style>
  <w:style w:type="paragraph" w:styleId="Heading2">
    <w:name w:val="Heading 2"/>
    <w:basedOn w:val="Normal"/>
    <w:next w:val="Normal"/>
    <w:qFormat/>
    <w:pPr>
      <w:spacing w:after="120" w:before="200"/>
      <w:outlineLvl w:val="1"/>
    </w:pPr>
    <w:rPr>
      <w:rFonts w:ascii="Arial" w:cs="Arial" w:eastAsia="Arial" w:hAnsi="Arial"/>
      <w:b/>
      <w:bCs/>
      <w:color w:val="2E4F8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2026-06-01T08:29:35.220Z</dcterms:created>
  <dcterms:modified xsi:type="dcterms:W3CDTF">2026-06-01T08:29:35.220Z</dcterms:modified>
</cp:coreProperties>
</file>

<file path=docProps/custom.xml><?xml version="1.0" encoding="utf-8"?>
<Properties xmlns="http://schemas.openxmlformats.org/officeDocument/2006/custom-properties" xmlns:vt="http://schemas.openxmlformats.org/officeDocument/2006/docPropsVTypes"/>
</file>