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60" w:before="240"/>
      </w:pPr>
      <w:r>
        <w:rPr>
          <w:rFonts w:ascii="Arial" w:cs="Arial" w:eastAsia="Arial" w:hAnsi="Arial"/>
          <w:b/>
          <w:bCs/>
          <w:color w:val="1F3864"/>
          <w:sz w:val="32"/>
          <w:szCs w:val="32"/>
        </w:rPr>
        <w:t xml:space="preserve">D3 — Business Impact and Next Steps</w:t>
      </w:r>
    </w:p>
    <w:p>
      <w:pPr>
        <w:spacing w:after="80" w:before="0"/>
      </w:pPr>
      <w:r>
        <w:rPr>
          <w:rFonts w:ascii="Arial" w:cs="Arial" w:eastAsia="Arial" w:hAnsi="Arial"/>
          <w:i/>
          <w:iCs/>
          <w:color w:val="666666"/>
          <w:sz w:val="18"/>
          <w:szCs w:val="18"/>
        </w:rPr>
        <w:t xml:space="preserve">Sankofa Digital · Incident Committee Package · Analyst: Rasaq Ayomide</w:t>
      </w:r>
    </w:p>
    <w:p>
      <w:pPr>
        <w:spacing w:after="160" w:before="0"/>
      </w:pPr>
      <w:r>
        <w:rPr>
          <w:rFonts w:ascii="Arial" w:cs="Arial" w:eastAsia="Arial" w:hAnsi="Arial"/>
          <w:i/>
          <w:iCs/>
          <w:color w:val="666666"/>
          <w:sz w:val="18"/>
          <w:szCs w:val="18"/>
        </w:rPr>
        <w:t xml:space="preserve">Addressed to: Incident Committee (non-technical executives)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ECEA" w:val="clear"/>
            <w:tcMar>
              <w:top w:type="dxa" w:w="160"/>
              <w:left w:type="dxa" w:w="240"/>
              <w:bottom w:type="dxa" w:w="160"/>
              <w:right w:type="dxa" w:w="240"/>
            </w:tcMar>
          </w:tcPr>
          <w:p>
            <w:pPr>
              <w:spacing w:after="80" w:before="0"/>
            </w:pPr>
            <w:r>
              <w:rPr>
                <w:rFonts w:ascii="Arial" w:cs="Arial" w:eastAsia="Arial" w:hAnsi="Arial"/>
                <w:b/>
                <w:bCs/>
                <w:color w:val="8B0000"/>
                <w:sz w:val="18"/>
                <w:szCs w:val="18"/>
              </w:rPr>
              <w:t xml:space="preserve">HEADLINE FINDING</w:t>
            </w:r>
          </w:p>
          <w:p>
            <w:pPr>
              <w:spacing w:after="0" w:before="0"/>
            </w:pPr>
            <w:r>
              <w:rPr>
                <w:rFonts w:ascii="Arial" w:cs="Arial" w:eastAsia="Arial" w:hAnsi="Arial"/>
                <w:b/>
                <w:bCs/>
                <w:color w:val="8B0000"/>
                <w:sz w:val="22"/>
                <w:szCs w:val="22"/>
              </w:rPr>
              <w:t xml:space="preserve">Sankofa Digital was compromised in Q2 2024 by an external threat actor operating under the handle The Griot, who gained unauthorised access to the company's gateway server using the valid credentials of a Finance Analyst on annual leave, staged and exfiltrated sensitive customer and transaction data, and remained undetected for five days due to a systematic failure in SOC ticket review processes.</w:t>
            </w:r>
          </w:p>
        </w:tc>
      </w:tr>
    </w:tbl>
    <w:p>
      <w:pPr>
        <w:spacing w:after="80" w:before="80"/>
      </w:pPr>
    </w:p>
    <w:p>
      <w:pPr>
        <w:pStyle w:val="Heading2"/>
        <w:spacing w:after="120" w:before="200"/>
      </w:pPr>
      <w:r>
        <w:rPr>
          <w:rFonts w:ascii="Arial" w:cs="Arial" w:eastAsia="Arial" w:hAnsi="Arial"/>
          <w:b/>
          <w:bCs/>
          <w:color w:val="2E4F8C"/>
          <w:sz w:val="24"/>
          <w:szCs w:val="24"/>
        </w:rPr>
        <w:t xml:space="preserve">Situation Summary</w:t>
      </w:r>
    </w:p>
    <w:p>
      <w:pPr>
        <w:spacing w:after="100" w:before="80"/>
      </w:pPr>
      <w:r>
        <w:rPr>
          <w:rFonts w:ascii="Arial" w:cs="Arial" w:eastAsia="Arial" w:hAnsi="Arial"/>
          <w:sz w:val="20"/>
          <w:szCs w:val="20"/>
        </w:rPr>
        <w:t xml:space="preserve">Between 4 and 8 June 2024, an attacker used a Sankofa employee's SSH credentials to log into the company's gateway server from an external IP address (185.220.101.9) on two separate occasions. During the first session, the attacker read internal configuration files, created an archive of customer records and transaction data, and transferred that archive to an external server they controlled. The employee whose account was used was on approved annual leave throughout the period. Nine separate automated security alerts were generated across those five days. All nine were resolved by a single SOC analyst — in some cases, the same analyst whose account was involved — without independent review. The alerts were closed individually, never connected into a single incident, and no escalation was triggered. The intrusion was eventually detected on 8 June when a senior threat intelligence analyst noticed seven unlinked alerts on a single server and manually correlated them to the original login event. By that point, the attacker had already completed their objective.</w:t>
      </w:r>
    </w:p>
    <w:p>
      <w:r>
        <w:br w:type="page"/>
      </w:r>
    </w:p>
    <w:p>
      <w:pPr>
        <w:pStyle w:val="Heading2"/>
        <w:spacing w:after="120" w:before="200"/>
      </w:pPr>
      <w:r>
        <w:rPr>
          <w:rFonts w:ascii="Arial" w:cs="Arial" w:eastAsia="Arial" w:hAnsi="Arial"/>
          <w:b/>
          <w:bCs/>
          <w:color w:val="2E4F8C"/>
          <w:sz w:val="24"/>
          <w:szCs w:val="24"/>
        </w:rPr>
        <w:t xml:space="preserve">What Is at Risk</w:t>
      </w:r>
    </w:p>
    <w:p>
      <w:pPr>
        <w:spacing w:after="80" w:before="160"/>
      </w:pPr>
      <w:r>
        <w:rPr>
          <w:rFonts w:ascii="Arial" w:cs="Arial" w:eastAsia="Arial" w:hAnsi="Arial"/>
          <w:b/>
          <w:bCs/>
          <w:color w:val="1F3864"/>
          <w:sz w:val="22"/>
          <w:szCs w:val="22"/>
        </w:rPr>
        <w:t xml:space="preserve">Data Classes Exposed</w:t>
      </w:r>
    </w:p>
    <w:p>
      <w:pPr>
        <w:spacing w:after="100" w:before="80"/>
      </w:pPr>
      <w:r>
        <w:rPr>
          <w:rFonts w:ascii="Arial" w:cs="Arial" w:eastAsia="Arial" w:hAnsi="Arial"/>
          <w:sz w:val="20"/>
          <w:szCs w:val="20"/>
        </w:rPr>
        <w:t xml:space="preserve">The evidence pack confirms that an archive containing customers.csv and transactions.csv was created on host-87 and transferred to an attacker-controlled server (tier-1-ticket-history.csv SD-40824, SD-40826). These file names indicate that both customer personal data and financial transaction records left Sankofa's environment. Under the Nigeria Data Protection Act 2023 (NDPA), customer personal data is a protected class requiring safeguarding under the Act's Part IV obligations. Sankofa's Data Protection Officer (Jamal Bashir) was not notified at the time of the incident.</w:t>
      </w:r>
    </w:p>
    <w:p>
      <w:pPr>
        <w:spacing w:after="80" w:before="160"/>
      </w:pPr>
      <w:r>
        <w:rPr>
          <w:rFonts w:ascii="Arial" w:cs="Arial" w:eastAsia="Arial" w:hAnsi="Arial"/>
          <w:b/>
          <w:bCs/>
          <w:color w:val="1F3864"/>
          <w:sz w:val="22"/>
          <w:szCs w:val="22"/>
        </w:rPr>
        <w:t xml:space="preserve">What We Know About the Attacker</w:t>
      </w:r>
    </w:p>
    <w:p>
      <w:pPr>
        <w:pStyle w:val="ListParagraph"/>
        <w:numPr>
          <w:ilvl w:val="0"/>
          <w:numId w:val="2"/>
        </w:numPr>
        <w:spacing w:after="40" w:before="40"/>
      </w:pPr>
      <w:r>
        <w:rPr>
          <w:rFonts w:ascii="Arial" w:cs="Arial" w:eastAsia="Arial" w:hAnsi="Arial"/>
          <w:sz w:val="20"/>
          <w:szCs w:val="20"/>
        </w:rPr>
        <w:t xml:space="preserve">Handle: The Griot — decoded from encoded-strings.txt payload [4] (Base64 encoding). The handle appears in a regional threat-intelligence feed tracked by Tunde Afolabi, Threat Intel Lead.</w:t>
      </w:r>
    </w:p>
    <w:p>
      <w:pPr>
        <w:pStyle w:val="ListParagraph"/>
        <w:numPr>
          <w:ilvl w:val="0"/>
          <w:numId w:val="2"/>
        </w:numPr>
        <w:spacing w:after="40" w:before="40"/>
      </w:pPr>
      <w:r>
        <w:rPr>
          <w:rFonts w:ascii="Arial" w:cs="Arial" w:eastAsia="Arial" w:hAnsi="Arial"/>
          <w:sz w:val="20"/>
          <w:szCs w:val="20"/>
        </w:rPr>
        <w:t xml:space="preserve">Infrastructure: The attacker's IP (185.220.101.9) was used for both initial access and as the data exfiltration destination. The same IP received the SCP transfer of customer and transaction data. This indicates The Griot operates their own receive server, not a commodity hosting service.</w:t>
      </w:r>
    </w:p>
    <w:p>
      <w:pPr>
        <w:pStyle w:val="ListParagraph"/>
        <w:numPr>
          <w:ilvl w:val="0"/>
          <w:numId w:val="2"/>
        </w:numPr>
        <w:spacing w:after="40" w:before="40"/>
      </w:pPr>
      <w:r>
        <w:rPr>
          <w:rFonts w:ascii="Arial" w:cs="Arial" w:eastAsia="Arial" w:hAnsi="Arial"/>
          <w:sz w:val="20"/>
          <w:szCs w:val="20"/>
        </w:rPr>
        <w:t xml:space="preserve">Capability: The attacker used valid credentials and a registered SSH key — suggesting either credential theft (phishing, prior compromise) or insider knowledge of Sankofa's access patterns. Post-access behaviour (reading auth.log, sudoers config, syslog) demonstrates operational security awareness. MITRE ATT&amp;CK technique T1078 (Valid Accounts) applies for initial access; T1041 (Exfiltration Over C2 Channel) for data transfer.</w:t>
      </w:r>
    </w:p>
    <w:p>
      <w:pPr>
        <w:pStyle w:val="ListParagraph"/>
        <w:numPr>
          <w:ilvl w:val="0"/>
          <w:numId w:val="2"/>
        </w:numPr>
        <w:spacing w:after="40" w:before="40"/>
      </w:pPr>
      <w:r>
        <w:rPr>
          <w:rFonts w:ascii="Arial" w:cs="Arial" w:eastAsia="Arial" w:hAnsi="Arial"/>
          <w:sz w:val="20"/>
          <w:szCs w:val="20"/>
        </w:rPr>
        <w:t xml:space="preserve">Reconnaissance prior to intrusion: Encoded payloads [1] and [2] from encoded-strings.txt decode to internal Sankofa asset labels (sankofa-soc-tier-1-alert-playbook and sankofa-security-ops-2024). The attacker had access to internal naming conventions before the intrusion, suggesting prior mapping of Sankofa's environment. This matches the NIST CSF function Detect (DE.AE-2): the environment was already being analysed before the access event.</w:t>
      </w:r>
    </w:p>
    <w:p>
      <w:pPr>
        <w:spacing w:after="80" w:before="160"/>
      </w:pPr>
      <w:r>
        <w:rPr>
          <w:rFonts w:ascii="Arial" w:cs="Arial" w:eastAsia="Arial" w:hAnsi="Arial"/>
          <w:b/>
          <w:bCs/>
          <w:color w:val="1F3864"/>
          <w:sz w:val="22"/>
          <w:szCs w:val="22"/>
        </w:rPr>
        <w:t xml:space="preserve">What We Cannot Yet Rule Out</w:t>
      </w:r>
    </w:p>
    <w:p>
      <w:pPr>
        <w:pStyle w:val="ListParagraph"/>
        <w:numPr>
          <w:ilvl w:val="0"/>
          <w:numId w:val="2"/>
        </w:numPr>
        <w:spacing w:after="40" w:before="40"/>
      </w:pPr>
      <w:r>
        <w:rPr>
          <w:rFonts w:ascii="Arial" w:cs="Arial" w:eastAsia="Arial" w:hAnsi="Arial"/>
          <w:sz w:val="20"/>
          <w:szCs w:val="20"/>
        </w:rPr>
        <w:t xml:space="preserve">Volume and content of exfiltrated data: We know the file names but not the row counts. Until host-87 is forensically examined, the full scope of customer exposure is unknown.</w:t>
      </w:r>
    </w:p>
    <w:p>
      <w:pPr>
        <w:pStyle w:val="ListParagraph"/>
        <w:numPr>
          <w:ilvl w:val="0"/>
          <w:numId w:val="2"/>
        </w:numPr>
        <w:spacing w:after="40" w:before="40"/>
      </w:pPr>
      <w:r>
        <w:rPr>
          <w:rFonts w:ascii="Arial" w:cs="Arial" w:eastAsia="Arial" w:hAnsi="Arial"/>
          <w:sz w:val="20"/>
          <w:szCs w:val="20"/>
        </w:rPr>
        <w:t xml:space="preserve">Additional access points: The a.eze account (offboarded April 2024, still active in June) authenticated on three consecutive days during the breach window. It is not yet determined whether this represents attacker lateral movement or a separate access-control failure.</w:t>
      </w:r>
    </w:p>
    <w:p>
      <w:pPr>
        <w:pStyle w:val="ListParagraph"/>
        <w:numPr>
          <w:ilvl w:val="0"/>
          <w:numId w:val="2"/>
        </w:numPr>
        <w:spacing w:after="40" w:before="40"/>
      </w:pPr>
      <w:r>
        <w:rPr>
          <w:rFonts w:ascii="Arial" w:cs="Arial" w:eastAsia="Arial" w:hAnsi="Arial"/>
          <w:sz w:val="20"/>
          <w:szCs w:val="20"/>
        </w:rPr>
        <w:t xml:space="preserve">Insider involvement: The attacker used valid credentials with the correct RSA key fingerprint. Key theft and phishing are the most likely explanations, but insider facilitation cannot be excluded until o.adegoke is interviewed and device forensics are completed.</w:t>
      </w:r>
    </w:p>
    <w:p>
      <w:pPr>
        <w:pStyle w:val="ListParagraph"/>
        <w:numPr>
          <w:ilvl w:val="0"/>
          <w:numId w:val="2"/>
        </w:numPr>
        <w:spacing w:after="40" w:before="40"/>
      </w:pPr>
      <w:r>
        <w:rPr>
          <w:rFonts w:ascii="Arial" w:cs="Arial" w:eastAsia="Arial" w:hAnsi="Arial"/>
          <w:sz w:val="20"/>
          <w:szCs w:val="20"/>
        </w:rPr>
        <w:t xml:space="preserve">Persistence mechanisms: The cron RELOAD at 02:14 UTC during the attacker's first session (SD-40819) may have installed a persistent backdoor. This requires forensic confirmation from the host-87 image.</w:t>
      </w:r>
    </w:p>
    <w:p>
      <w:r>
        <w:br w:type="page"/>
      </w:r>
    </w:p>
    <w:p>
      <w:pPr>
        <w:pStyle w:val="Heading2"/>
        <w:spacing w:after="120" w:before="200"/>
      </w:pPr>
      <w:r>
        <w:rPr>
          <w:rFonts w:ascii="Arial" w:cs="Arial" w:eastAsia="Arial" w:hAnsi="Arial"/>
          <w:b/>
          <w:bCs/>
          <w:color w:val="2E4F8C"/>
          <w:sz w:val="24"/>
          <w:szCs w:val="24"/>
        </w:rPr>
        <w:t xml:space="preserve">Three 72-Hour Actions</w:t>
      </w:r>
    </w:p>
    <w:p>
      <w:pPr>
        <w:spacing w:after="100" w:before="80"/>
      </w:pPr>
      <w:r>
        <w:rPr>
          <w:rFonts w:ascii="Arial" w:cs="Arial" w:eastAsia="Arial" w:hAnsi="Arial"/>
          <w:sz w:val="20"/>
          <w:szCs w:val="20"/>
        </w:rPr>
        <w:t xml:space="preserve">The following actions are listed in priority order. Each must begin within the stated deadline from the time this report is delivered to the Incident Committee. Owner roles are listed, not names, to ensure actions transfer correctly if a named individual is unavailable.</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9360"/>
            <w:gridSpan w:val="2"/>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Action 1: Contain and Preserve — Revoke Credentials and Freeze Affected Accounts</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1F3864"/>
                <w:sz w:val="17"/>
                <w:szCs w:val="17"/>
              </w:rPr>
              <w:t xml:space="preserve">Owner</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Head of Security (Amaka Eze) with Identity &amp; Access Management support</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1F3864"/>
                <w:sz w:val="17"/>
                <w:szCs w:val="17"/>
              </w:rPr>
              <w:t xml:space="preserve">Deadline</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7"/>
                <w:szCs w:val="17"/>
              </w:rPr>
              <w:t xml:space="preserve">By Hour 4 from report delivery</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1F3864"/>
                <w:sz w:val="17"/>
                <w:szCs w:val="17"/>
              </w:rPr>
              <w:t xml:space="preserve">Action</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Immediately revoke the SSH keys and system credentials associated with the o.adegoke account and the a.eze account. Do not delete — suspend and preserve for forensic integrity. Rotate all SSH keys for any account that used host-87 during the 3–8 June window. Block 185.220.101.9 at the perimeter firewall if not already done by the nft rule applied in SD-40866. This action stops any remaining attacker access channel from being reused.</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1F3864"/>
                <w:sz w:val="17"/>
                <w:szCs w:val="17"/>
              </w:rPr>
              <w:t xml:space="preserve">Evidence</w:t>
            </w:r>
          </w:p>
        </w:tc>
        <w:tc>
          <w:tcPr>
            <w:tcW w:type="dxa" w:w="776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i/>
                <w:iCs/>
                <w:sz w:val="17"/>
                <w:szCs w:val="17"/>
              </w:rPr>
              <w:t xml:space="preserve">auth-log-q2.txt:13 (185.220.101.9 session); auth-log-q2.txt:9,23,32 (a.eze sessions); sankofa-roster.csv (a.eze offboarded 2024-04-12); tier-1-ticket-history.csv SD-40866 (host-87 quarantine)</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C00000"/>
                <w:sz w:val="17"/>
                <w:szCs w:val="17"/>
              </w:rPr>
              <w:t xml:space="preserve">Risk NOT closed</w:t>
            </w:r>
          </w:p>
        </w:tc>
        <w:tc>
          <w:tcPr>
            <w:tcW w:type="dxa" w:w="7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i/>
                <w:iCs/>
                <w:color w:val="8B0000"/>
                <w:sz w:val="17"/>
                <w:szCs w:val="17"/>
              </w:rPr>
              <w:t xml:space="preserve">Revoking credentials does not recover or delete data already exfiltrated to 185.220.101.9. It does not address whether the attacker has established additional persistence (e.g., cron job from SD-40819) that survives credential rotation. Forensic action (Action 2) must proceed in parallel.</w:t>
            </w:r>
          </w:p>
        </w:tc>
      </w:tr>
    </w:tbl>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9360"/>
            <w:gridSpan w:val="2"/>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Action 2: Investigate and Scope — Forensic Image of Host-87 and Breach Scoping</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1F3864"/>
                <w:sz w:val="17"/>
                <w:szCs w:val="17"/>
              </w:rPr>
              <w:t xml:space="preserve">Owner</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Threat Intel Lead (Tunde Afolabi) with external forensics support if required</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1F3864"/>
                <w:sz w:val="17"/>
                <w:szCs w:val="17"/>
              </w:rPr>
              <w:t xml:space="preserve">Deadline</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7"/>
                <w:szCs w:val="17"/>
              </w:rPr>
              <w:t xml:space="preserve">By Hour 24 from report delivery</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1F3864"/>
                <w:sz w:val="17"/>
                <w:szCs w:val="17"/>
              </w:rPr>
              <w:t xml:space="preserve">Action</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Commission a forensic image of host-87 (already quarantined under SD-40866) before any remediation is applied. Priority forensic questions: (a) what cron modifications were made during the attacker's 02:07–02:18 UTC session on 4 June; (b) whether the /tmp tarball was deleted or can be recovered to confirm file contents; (c) what data was present in customers.csv and transactions.csv at time of exfiltration. Forensic findings determine whether NDPA breach notification obligations are triggered and set the perimeter of any customer communication.</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1F3864"/>
                <w:sz w:val="17"/>
                <w:szCs w:val="17"/>
              </w:rPr>
              <w:t xml:space="preserve">Evidence</w:t>
            </w:r>
          </w:p>
        </w:tc>
        <w:tc>
          <w:tcPr>
            <w:tcW w:type="dxa" w:w="776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i/>
                <w:iCs/>
                <w:sz w:val="17"/>
                <w:szCs w:val="17"/>
              </w:rPr>
              <w:t xml:space="preserve">tier-1-ticket-history.csv SD-40866 (host quarantined), SD-40824 (tarball created /tmp), SD-40819 (cron RELOAD); auth-log-q2.txt:15–17 (sudo commands during session)</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C00000"/>
                <w:sz w:val="17"/>
                <w:szCs w:val="17"/>
              </w:rPr>
              <w:t xml:space="preserve">Risk NOT closed</w:t>
            </w:r>
          </w:p>
        </w:tc>
        <w:tc>
          <w:tcPr>
            <w:tcW w:type="dxa" w:w="7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i/>
                <w:iCs/>
                <w:color w:val="8B0000"/>
                <w:sz w:val="17"/>
                <w:szCs w:val="17"/>
              </w:rPr>
              <w:t xml:space="preserve">Forensic imaging scopes the breach but does not recover data from the attacker's server at 185.220.101.9. The full contents of the exfiltrated archive will remain unknown until law enforcement engagement or threat-intelligence cooperation with the operator of that IP. This action does not notify customers — that decision follows forensic scoping.</w:t>
            </w:r>
          </w:p>
        </w:tc>
      </w:tr>
    </w:tbl>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9360"/>
            <w:gridSpan w:val="2"/>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Action 3: Notify and Comply — Engage DPO and Assess NDPA Notification Obligation</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1F3864"/>
                <w:sz w:val="17"/>
                <w:szCs w:val="17"/>
              </w:rPr>
              <w:t xml:space="preserve">Owner</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Data Protection Officer (Jamal Bashir) and CEO (Adaeze Okonkwo)</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1F3864"/>
                <w:sz w:val="17"/>
                <w:szCs w:val="17"/>
              </w:rPr>
              <w:t xml:space="preserve">Deadline</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7"/>
                <w:szCs w:val="17"/>
              </w:rPr>
              <w:t xml:space="preserve">By Hour 48 from report delivery</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1F3864"/>
                <w:sz w:val="17"/>
                <w:szCs w:val="17"/>
              </w:rPr>
              <w:t xml:space="preserve">Action</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The Data Protection Officer must be briefed on the confirmed exfiltration of customers.csv and transactions.csv no later than 48 hours from report delivery. Under the Nigeria Data Protection Act 2023, the organisation must assess whether a notifiable data breach has occurred. If confirmed, NDPC notification is required within 72 hours of becoming aware of the breach (NDPA 2023, s.40). The DPO should also assess whether Sankofa's new microfinance processing partner (announced in the Q2 press release) has data in the exfiltrated files, as this may trigger contractual breach notification obligations in addition to the regulatory ones.</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1F3864"/>
                <w:sz w:val="17"/>
                <w:szCs w:val="17"/>
              </w:rPr>
              <w:t xml:space="preserve">Evidence</w:t>
            </w:r>
          </w:p>
        </w:tc>
        <w:tc>
          <w:tcPr>
            <w:tcW w:type="dxa" w:w="776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i/>
                <w:iCs/>
                <w:sz w:val="17"/>
                <w:szCs w:val="17"/>
              </w:rPr>
              <w:t xml:space="preserve">tier-1-ticket-history.csv SD-40824 (customers.csv + transactions.csv named), SD-40826 (exfiltration confirmed); sankofa-roster.csv (jamal.bashir, DPO); intranet note (microfinance partner deal, press release Friday)</w:t>
            </w:r>
          </w:p>
        </w:tc>
      </w:tr>
      <w:tr>
        <w:tc>
          <w:tcPr>
            <w:tcW w:type="dxa" w:w="16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C00000"/>
                <w:sz w:val="17"/>
                <w:szCs w:val="17"/>
              </w:rPr>
              <w:t xml:space="preserve">Risk NOT closed</w:t>
            </w:r>
          </w:p>
        </w:tc>
        <w:tc>
          <w:tcPr>
            <w:tcW w:type="dxa" w:w="77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r>
              <w:rPr>
                <w:rFonts w:ascii="Arial" w:cs="Arial" w:eastAsia="Arial" w:hAnsi="Arial"/>
                <w:i/>
                <w:iCs/>
                <w:color w:val="8B0000"/>
                <w:sz w:val="17"/>
                <w:szCs w:val="17"/>
              </w:rPr>
              <w:t xml:space="preserve">DPO notification does not automatically trigger customer notification. That decision rests on the forensic scope from Action 2. This action also does not address the attacker's infrastructure or prevent The Griot from using the same credentials against other targets. Credential revocation (Action 1) and threat-intel sharing (via Tunde Afolabi) are the controls for that risk.</w:t>
            </w:r>
          </w:p>
        </w:tc>
      </w:tr>
    </w:tbl>
    <w:p>
      <w:r>
        <w:br w:type="page"/>
      </w:r>
    </w:p>
    <w:p>
      <w:pPr>
        <w:pStyle w:val="Heading2"/>
        <w:spacing w:after="120" w:before="200"/>
      </w:pPr>
      <w:r>
        <w:rPr>
          <w:rFonts w:ascii="Arial" w:cs="Arial" w:eastAsia="Arial" w:hAnsi="Arial"/>
          <w:b/>
          <w:bCs/>
          <w:color w:val="2E4F8C"/>
          <w:sz w:val="24"/>
          <w:szCs w:val="24"/>
        </w:rPr>
        <w:t xml:space="preserve">Systemic Recommendation</w:t>
      </w:r>
    </w:p>
    <w:p>
      <w:pPr>
        <w:spacing w:after="100" w:before="80"/>
      </w:pPr>
      <w:r>
        <w:rPr>
          <w:rFonts w:ascii="Arial" w:cs="Arial" w:eastAsia="Arial" w:hAnsi="Arial"/>
          <w:sz w:val="20"/>
          <w:szCs w:val="20"/>
        </w:rPr>
        <w:t xml:space="preserve">The three 72-hour actions above address the immediate incident. This recommendation addresses the condition that allowed the incident to go undetected.</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Recommendation</w:t>
            </w:r>
          </w:p>
        </w:tc>
        <w:tc>
          <w:tcPr>
            <w:tcW w:type="dxa" w:w="73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Mandate Peer Review for All MEDIUM+ Security Ticket Closures</w:t>
            </w:r>
          </w:p>
        </w:tc>
      </w:tr>
      <w:tr>
        <w:tc>
          <w:tcPr>
            <w:tcW w:type="dxa" w:w="2000"/>
            <w:tcBorders>
              <w:top w:val="single" w:color="CCCCCC" w:sz="1"/>
              <w:left w:val="single" w:color="CCCCCC" w:sz="1"/>
              <w:bottom w:val="single" w:color="CCCCCC" w:sz="1"/>
              <w:right w:val="single" w:color="CCCCCC" w:sz="1"/>
            </w:tcBorders>
            <w:shd w:fill="F0F4FA" w:val="clear"/>
            <w:tcMar>
              <w:top w:type="dxa" w:w="80"/>
              <w:left w:type="dxa" w:w="120"/>
              <w:bottom w:type="dxa" w:w="80"/>
              <w:right w:type="dxa" w:w="120"/>
            </w:tcMar>
          </w:tcPr>
          <w:p>
            <w:r>
              <w:rPr>
                <w:rFonts w:ascii="Arial" w:cs="Arial" w:eastAsia="Arial" w:hAnsi="Arial"/>
                <w:b/>
                <w:bCs/>
                <w:color w:val="1F3864"/>
                <w:sz w:val="17"/>
                <w:szCs w:val="17"/>
              </w:rPr>
              <w:t xml:space="preserve">The problem</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During the week of 3–8 June 2024, 69% of all SOC tickets were closed by a single analyst. Five of those tickets directly involved that analyst's own account. The existing ticket workflow had no control preventing an analyst from resolving an alert about themselves. This is documented in D2, which shows o.adegoke closing SD-40812, SD-40819, SD-40824, SD-40826, and SD-40835 — severities ranging from MEDIUM to CRITICAL — without any second review.</w:t>
            </w:r>
          </w:p>
        </w:tc>
      </w:tr>
      <w:tr>
        <w:tc>
          <w:tcPr>
            <w:tcW w:type="dxa" w:w="20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b/>
                <w:bCs/>
                <w:color w:val="1F3864"/>
                <w:sz w:val="17"/>
                <w:szCs w:val="17"/>
              </w:rPr>
              <w:t xml:space="preserve">The recommendation</w:t>
            </w:r>
          </w:p>
        </w:tc>
        <w:tc>
          <w:tcPr>
            <w:tcW w:type="dxa" w:w="736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Establish a written policy — not a tool configuration, not a staffing change — that any MEDIUM or above SOC ticket closed as "no action", "by reference", or any equivalent non-escalation disposition requires a co-signature from a second analyst who is not the subject of the alert. The co-signing analyst must record a one-sentence rationale. Tickets may not be co-signed by the analyst who opened them. This policy applies regardless of SOC bench size and takes effect for all tickets generated from the date the Incident Committee approves it.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F3864"/>
                <w:sz w:val="17"/>
                <w:szCs w:val="17"/>
              </w:rPr>
              <w:t xml:space="preserve">Why policy not tools</w:t>
            </w:r>
          </w:p>
        </w:tc>
        <w:tc>
          <w:tcPr>
            <w:tcW w:type="dxa" w:w="7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Tools can be misconfigured or bypassed. A written policy with a named approval requirement creates an audit trail that tools alone cannot guarantee. The D2 analysis shows the SIEM worked correctly — it raised nine alerts at the right severity levels. The failure was in the human process applied to those alerts, not in the detection capability. Policy changes the human process; tooling changes detect the symptom.</w:t>
            </w:r>
          </w:p>
        </w:tc>
      </w:tr>
    </w:tbl>
    <w:p>
      <w:pPr>
        <w:spacing w:after="80" w:before="80"/>
      </w:pPr>
    </w:p>
    <w:p>
      <w:pPr>
        <w:pBdr>
          <w:bottom w:val="single" w:color="CCCCCC" w:sz="4" w:space="1"/>
        </w:pBdr>
        <w:spacing w:after="120" w:before="120"/>
      </w:pPr>
    </w:p>
    <w:p>
      <w:pPr>
        <w:pStyle w:val="Heading2"/>
        <w:spacing w:after="120" w:before="200"/>
      </w:pPr>
      <w:r>
        <w:rPr>
          <w:rFonts w:ascii="Arial" w:cs="Arial" w:eastAsia="Arial" w:hAnsi="Arial"/>
          <w:b/>
          <w:bCs/>
          <w:color w:val="2E4F8C"/>
          <w:sz w:val="24"/>
          <w:szCs w:val="24"/>
        </w:rPr>
        <w:t xml:space="preserve">Evidence Appendix</w:t>
      </w:r>
    </w:p>
    <w:p>
      <w:pPr>
        <w:spacing w:after="100" w:before="80"/>
      </w:pPr>
      <w:r>
        <w:rPr>
          <w:rFonts w:ascii="Arial" w:cs="Arial" w:eastAsia="Arial" w:hAnsi="Arial"/>
          <w:sz w:val="20"/>
          <w:szCs w:val="20"/>
        </w:rPr>
        <w:t xml:space="preserve">Every file, line reference, ticket, and external standard cited across D1, D2, and D3.</w:t>
      </w:r>
    </w:p>
    <w:p>
      <w:pPr>
        <w:spacing w:after="80" w:before="80"/>
      </w:pPr>
    </w:p>
    <w:p>
      <w:pPr>
        <w:spacing w:after="80" w:before="160"/>
      </w:pPr>
      <w:r>
        <w:rPr>
          <w:rFonts w:ascii="Arial" w:cs="Arial" w:eastAsia="Arial" w:hAnsi="Arial"/>
          <w:b/>
          <w:bCs/>
          <w:color w:val="1F3864"/>
          <w:sz w:val="22"/>
          <w:szCs w:val="22"/>
        </w:rPr>
        <w:t xml:space="preserve">Evidence Files</w:t>
      </w:r>
    </w:p>
    <w:p>
      <w:pPr>
        <w:pStyle w:val="ListParagraph"/>
        <w:numPr>
          <w:ilvl w:val="0"/>
          <w:numId w:val="2"/>
        </w:numPr>
        <w:spacing w:after="40" w:before="40"/>
      </w:pPr>
      <w:r>
        <w:rPr>
          <w:rFonts w:ascii="Arial" w:cs="Arial" w:eastAsia="Arial" w:hAnsi="Arial"/>
          <w:sz w:val="20"/>
          <w:szCs w:val="20"/>
        </w:rPr>
        <w:t xml:space="preserve">auth-log-q2.txt — Lines 13–18 (Jun 4 attacker session), Lines 27–30 (Jun 5 attacker session), Lines 9/23/32 (a.eze sessions)</w:t>
      </w:r>
    </w:p>
    <w:p>
      <w:pPr>
        <w:pStyle w:val="ListParagraph"/>
        <w:numPr>
          <w:ilvl w:val="0"/>
          <w:numId w:val="2"/>
        </w:numPr>
        <w:spacing w:after="40" w:before="40"/>
      </w:pPr>
      <w:r>
        <w:rPr>
          <w:rFonts w:ascii="Arial" w:cs="Arial" w:eastAsia="Arial" w:hAnsi="Arial"/>
          <w:sz w:val="20"/>
          <w:szCs w:val="20"/>
        </w:rPr>
        <w:t xml:space="preserve">encoded-strings.txt — Payload [4]: Base64 decode → 'The Griot is already inside the walls.' (threat actor identification)</w:t>
      </w:r>
    </w:p>
    <w:p>
      <w:pPr>
        <w:pStyle w:val="ListParagraph"/>
        <w:numPr>
          <w:ilvl w:val="0"/>
          <w:numId w:val="2"/>
        </w:numPr>
        <w:spacing w:after="40" w:before="40"/>
      </w:pPr>
      <w:r>
        <w:rPr>
          <w:rFonts w:ascii="Arial" w:cs="Arial" w:eastAsia="Arial" w:hAnsi="Arial"/>
          <w:sz w:val="20"/>
          <w:szCs w:val="20"/>
        </w:rPr>
        <w:t xml:space="preserve">encoded-strings.txt — Payload [1]: Base64 → sankofa-soc-tier-1-alert-playbook; Payload [2]: Hex → sankofa-security-ops-2024; Payload [3]: URL-encoded → {user: o.adegoke, event: suspicious-login}</w:t>
      </w:r>
    </w:p>
    <w:p>
      <w:pPr>
        <w:pStyle w:val="ListParagraph"/>
        <w:numPr>
          <w:ilvl w:val="0"/>
          <w:numId w:val="2"/>
        </w:numPr>
        <w:spacing w:after="40" w:before="40"/>
      </w:pPr>
      <w:r>
        <w:rPr>
          <w:rFonts w:ascii="Arial" w:cs="Arial" w:eastAsia="Arial" w:hAnsi="Arial"/>
          <w:sz w:val="20"/>
          <w:szCs w:val="20"/>
        </w:rPr>
        <w:t xml:space="preserve">tier-1-ticket-history.csv — SD-40812, SD-40819, SD-40824, SD-40826, SD-40835 (primary dismissal chain); SD-40866 (Tunde's escalation); SD-40855 (a.eze account); SD-40688 (sudo exception)</w:t>
      </w:r>
    </w:p>
    <w:p>
      <w:pPr>
        <w:pStyle w:val="ListParagraph"/>
        <w:numPr>
          <w:ilvl w:val="0"/>
          <w:numId w:val="2"/>
        </w:numPr>
        <w:spacing w:after="40" w:before="40"/>
      </w:pPr>
      <w:r>
        <w:rPr>
          <w:rFonts w:ascii="Arial" w:cs="Arial" w:eastAsia="Arial" w:hAnsi="Arial"/>
          <w:sz w:val="20"/>
          <w:szCs w:val="20"/>
        </w:rPr>
        <w:t xml:space="preserve">sankofa-roster.csv — o.adegoke (on leave 2024-06-03 to 2024-06-07); a.eze (offboarded 2024-04-12); jamal.bashir (DPO)</w:t>
      </w:r>
    </w:p>
    <w:p>
      <w:pPr>
        <w:spacing w:after="80" w:before="80"/>
      </w:pPr>
    </w:p>
    <w:p>
      <w:pPr>
        <w:spacing w:after="80" w:before="160"/>
      </w:pPr>
      <w:r>
        <w:rPr>
          <w:rFonts w:ascii="Arial" w:cs="Arial" w:eastAsia="Arial" w:hAnsi="Arial"/>
          <w:b/>
          <w:bCs/>
          <w:color w:val="1F3864"/>
          <w:sz w:val="22"/>
          <w:szCs w:val="22"/>
        </w:rPr>
        <w:t xml:space="preserve">External Standards and References</w:t>
      </w:r>
    </w:p>
    <w:p>
      <w:pPr>
        <w:pStyle w:val="ListParagraph"/>
        <w:numPr>
          <w:ilvl w:val="0"/>
          <w:numId w:val="2"/>
        </w:numPr>
        <w:spacing w:after="40" w:before="40"/>
      </w:pPr>
      <w:r>
        <w:rPr>
          <w:rFonts w:ascii="Arial" w:cs="Arial" w:eastAsia="Arial" w:hAnsi="Arial"/>
          <w:sz w:val="20"/>
          <w:szCs w:val="20"/>
        </w:rPr>
        <w:t xml:space="preserve">MITRE ATT&amp;CK T1078 — Valid Accounts (initial access via o.adegoke credentials)</w:t>
      </w:r>
    </w:p>
    <w:p>
      <w:pPr>
        <w:pStyle w:val="ListParagraph"/>
        <w:numPr>
          <w:ilvl w:val="0"/>
          <w:numId w:val="2"/>
        </w:numPr>
        <w:spacing w:after="40" w:before="40"/>
      </w:pPr>
      <w:r>
        <w:rPr>
          <w:rFonts w:ascii="Arial" w:cs="Arial" w:eastAsia="Arial" w:hAnsi="Arial"/>
          <w:sz w:val="20"/>
          <w:szCs w:val="20"/>
        </w:rPr>
        <w:t xml:space="preserve">MITRE ATT&amp;CK T1041 — Exfiltration Over C2 Channel (SCP to 185.220.101.9, SD-40826)</w:t>
      </w:r>
    </w:p>
    <w:p>
      <w:pPr>
        <w:pStyle w:val="ListParagraph"/>
        <w:numPr>
          <w:ilvl w:val="0"/>
          <w:numId w:val="2"/>
        </w:numPr>
        <w:spacing w:after="40" w:before="40"/>
      </w:pPr>
      <w:r>
        <w:rPr>
          <w:rFonts w:ascii="Arial" w:cs="Arial" w:eastAsia="Arial" w:hAnsi="Arial"/>
          <w:sz w:val="20"/>
          <w:szCs w:val="20"/>
        </w:rPr>
        <w:t xml:space="preserve">MITRE ATT&amp;CK T1053 — Scheduled Task/Job (cron RELOAD, SD-40819)</w:t>
      </w:r>
    </w:p>
    <w:p>
      <w:pPr>
        <w:pStyle w:val="ListParagraph"/>
        <w:numPr>
          <w:ilvl w:val="0"/>
          <w:numId w:val="2"/>
        </w:numPr>
        <w:spacing w:after="40" w:before="40"/>
      </w:pPr>
      <w:r>
        <w:rPr>
          <w:rFonts w:ascii="Arial" w:cs="Arial" w:eastAsia="Arial" w:hAnsi="Arial"/>
          <w:sz w:val="20"/>
          <w:szCs w:val="20"/>
        </w:rPr>
        <w:t xml:space="preserve">MITRE ATT&amp;CK T1560 — Archive Collected Data (customers.csv + transactions.csv tarball, SD-40824)</w:t>
      </w:r>
    </w:p>
    <w:p>
      <w:pPr>
        <w:pStyle w:val="ListParagraph"/>
        <w:numPr>
          <w:ilvl w:val="0"/>
          <w:numId w:val="2"/>
        </w:numPr>
        <w:spacing w:after="40" w:before="40"/>
      </w:pPr>
      <w:r>
        <w:rPr>
          <w:rFonts w:ascii="Arial" w:cs="Arial" w:eastAsia="Arial" w:hAnsi="Arial"/>
          <w:sz w:val="20"/>
          <w:szCs w:val="20"/>
        </w:rPr>
        <w:t xml:space="preserve">MITRE ATT&amp;CK T1070 — Indicator Removal (sudo less /var/log/auth.log, SD-40837)</w:t>
      </w:r>
    </w:p>
    <w:p>
      <w:pPr>
        <w:pStyle w:val="ListParagraph"/>
        <w:numPr>
          <w:ilvl w:val="0"/>
          <w:numId w:val="2"/>
        </w:numPr>
        <w:spacing w:after="40" w:before="40"/>
      </w:pPr>
      <w:r>
        <w:rPr>
          <w:rFonts w:ascii="Arial" w:cs="Arial" w:eastAsia="Arial" w:hAnsi="Arial"/>
          <w:sz w:val="20"/>
          <w:szCs w:val="20"/>
        </w:rPr>
        <w:t xml:space="preserve">NIST CSF Function: Detect (DE.AE-2) — prior reconnaissance evidenced by encoded payload asset labels</w:t>
      </w:r>
    </w:p>
    <w:p>
      <w:pPr>
        <w:pStyle w:val="ListParagraph"/>
        <w:numPr>
          <w:ilvl w:val="0"/>
          <w:numId w:val="2"/>
        </w:numPr>
        <w:spacing w:after="40" w:before="40"/>
      </w:pPr>
      <w:r>
        <w:rPr>
          <w:rFonts w:ascii="Arial" w:cs="Arial" w:eastAsia="Arial" w:hAnsi="Arial"/>
          <w:sz w:val="20"/>
          <w:szCs w:val="20"/>
        </w:rPr>
        <w:t xml:space="preserve">NIST CSF Function: Protect (PR.AC-1) — identity management failure, a.eze account active post-offboarding</w:t>
      </w:r>
    </w:p>
    <w:p>
      <w:pPr>
        <w:pStyle w:val="ListParagraph"/>
        <w:numPr>
          <w:ilvl w:val="0"/>
          <w:numId w:val="2"/>
        </w:numPr>
        <w:spacing w:after="40" w:before="40"/>
      </w:pPr>
      <w:r>
        <w:rPr>
          <w:rFonts w:ascii="Arial" w:cs="Arial" w:eastAsia="Arial" w:hAnsi="Arial"/>
          <w:sz w:val="20"/>
          <w:szCs w:val="20"/>
        </w:rPr>
        <w:t xml:space="preserve">NIST SP 800-53 AC-5 — Separation of Duties — single analyst closing own-account tickets</w:t>
      </w:r>
    </w:p>
    <w:p>
      <w:pPr>
        <w:pStyle w:val="ListParagraph"/>
        <w:numPr>
          <w:ilvl w:val="0"/>
          <w:numId w:val="2"/>
        </w:numPr>
        <w:spacing w:after="40" w:before="40"/>
      </w:pPr>
      <w:r>
        <w:rPr>
          <w:rFonts w:ascii="Arial" w:cs="Arial" w:eastAsia="Arial" w:hAnsi="Arial"/>
          <w:sz w:val="20"/>
          <w:szCs w:val="20"/>
        </w:rPr>
        <w:t xml:space="preserve">NIST SP 800-53 PS-4 — Personnel Termination — a.eze account not revoked after departure</w:t>
      </w:r>
    </w:p>
    <w:p>
      <w:pPr>
        <w:pStyle w:val="ListParagraph"/>
        <w:numPr>
          <w:ilvl w:val="0"/>
          <w:numId w:val="2"/>
        </w:numPr>
        <w:spacing w:after="40" w:before="40"/>
      </w:pPr>
      <w:r>
        <w:rPr>
          <w:rFonts w:ascii="Arial" w:cs="Arial" w:eastAsia="Arial" w:hAnsi="Arial"/>
          <w:sz w:val="20"/>
          <w:szCs w:val="20"/>
        </w:rPr>
        <w:t xml:space="preserve">ISO/IEC 27001:2022 A.8.22 — Segregation of duties in information security</w:t>
      </w:r>
    </w:p>
    <w:p>
      <w:pPr>
        <w:pStyle w:val="ListParagraph"/>
        <w:numPr>
          <w:ilvl w:val="0"/>
          <w:numId w:val="2"/>
        </w:numPr>
        <w:spacing w:after="40" w:before="40"/>
      </w:pPr>
      <w:r>
        <w:rPr>
          <w:rFonts w:ascii="Arial" w:cs="Arial" w:eastAsia="Arial" w:hAnsi="Arial"/>
          <w:sz w:val="20"/>
          <w:szCs w:val="20"/>
        </w:rPr>
        <w:t xml:space="preserve">Nigeria Data Protection Act 2023, s.24 — Data protection obligations for personal data</w:t>
      </w:r>
    </w:p>
    <w:p>
      <w:pPr>
        <w:pStyle w:val="ListParagraph"/>
        <w:numPr>
          <w:ilvl w:val="0"/>
          <w:numId w:val="2"/>
        </w:numPr>
        <w:spacing w:after="40" w:before="40"/>
      </w:pPr>
      <w:r>
        <w:rPr>
          <w:rFonts w:ascii="Arial" w:cs="Arial" w:eastAsia="Arial" w:hAnsi="Arial"/>
          <w:sz w:val="20"/>
          <w:szCs w:val="20"/>
        </w:rPr>
        <w:t xml:space="preserve">Nigeria Data Protection Act 2023, s.40 — 72-hour breach notification obligation to NDPC</w:t>
      </w:r>
    </w:p>
    <w:p>
      <w:pPr>
        <w:pStyle w:val="ListParagraph"/>
        <w:numPr>
          <w:ilvl w:val="0"/>
          <w:numId w:val="2"/>
        </w:numPr>
        <w:spacing w:after="40" w:before="40"/>
      </w:pPr>
      <w:r>
        <w:rPr>
          <w:rFonts w:ascii="Arial" w:cs="Arial" w:eastAsia="Arial" w:hAnsi="Arial"/>
          <w:sz w:val="20"/>
          <w:szCs w:val="20"/>
        </w:rPr>
        <w:t xml:space="preserve">ISC2 Code of Ethics — Canon: Protect Society (obligation to escalate confirmed breach affecting customer data)</w:t>
      </w:r>
    </w:p>
    <w:p>
      <w:pPr>
        <w:spacing w:after="0" w:before="200"/>
      </w:pP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F3864"/>
      <w:sz w:val="32"/>
      <w:szCs w:val="32"/>
    </w:rPr>
  </w:style>
  <w:style w:type="paragraph" w:styleId="Heading2">
    <w:name w:val="Heading 2"/>
    <w:basedOn w:val="Normal"/>
    <w:next w:val="Normal"/>
    <w:qFormat/>
    <w:pPr>
      <w:spacing w:after="120" w:before="200"/>
      <w:outlineLvl w:val="1"/>
    </w:pPr>
    <w:rPr>
      <w:rFonts w:ascii="Arial" w:cs="Arial" w:eastAsia="Arial" w:hAnsi="Arial"/>
      <w:b/>
      <w:bCs/>
      <w:color w:val="2E4F8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2026-06-01T08:34:08.499Z</dcterms:created>
  <dcterms:modified xsi:type="dcterms:W3CDTF">2026-06-01T08:34:08.499Z</dcterms:modified>
</cp:coreProperties>
</file>

<file path=docProps/custom.xml><?xml version="1.0" encoding="utf-8"?>
<Properties xmlns="http://schemas.openxmlformats.org/officeDocument/2006/custom-properties" xmlns:vt="http://schemas.openxmlformats.org/officeDocument/2006/docPropsVTypes"/>
</file>