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240"/>
      </w:pPr>
      <w:r>
        <w:rPr>
          <w:rFonts w:ascii="Arial" w:cs="Arial" w:eastAsia="Arial" w:hAnsi="Arial"/>
          <w:b/>
          <w:bCs/>
          <w:color w:val="1F3864"/>
          <w:sz w:val="32"/>
          <w:szCs w:val="32"/>
        </w:rPr>
        <w:t xml:space="preserve">D4 — Judgment Essay</w:t>
      </w:r>
    </w:p>
    <w:p>
      <w:pPr>
        <w:spacing w:after="80" w:before="0"/>
      </w:pPr>
      <w:r>
        <w:rPr>
          <w:rFonts w:ascii="Arial" w:cs="Arial" w:eastAsia="Arial" w:hAnsi="Arial"/>
          <w:i/>
          <w:iCs/>
          <w:color w:val="666666"/>
          <w:sz w:val="18"/>
          <w:szCs w:val="18"/>
        </w:rPr>
        <w:t xml:space="preserve">Sankofa Digital · Incident Committee Package · Analyst: Rasaq Ayomide</w:t>
      </w:r>
    </w:p>
    <w:p>
      <w:pPr>
        <w:spacing w:after="160" w:before="0"/>
      </w:pPr>
      <w:r>
        <w:rPr>
          <w:rFonts w:ascii="Arial" w:cs="Arial" w:eastAsia="Arial" w:hAnsi="Arial"/>
          <w:i/>
          <w:iCs/>
          <w:color w:val="666666"/>
          <w:sz w:val="18"/>
          <w:szCs w:val="18"/>
        </w:rPr>
        <w:t xml:space="preserve">Part A: Ethics call (350–450 words) | Part B: SIEM alert scenario (300–400 words)</w:t>
      </w:r>
    </w:p>
    <w:p>
      <w:pPr>
        <w:pStyle w:val="Heading2"/>
        <w:spacing w:after="120" w:before="200"/>
      </w:pPr>
      <w:r>
        <w:rPr>
          <w:rFonts w:ascii="Arial" w:cs="Arial" w:eastAsia="Arial" w:hAnsi="Arial"/>
          <w:b/>
          <w:bCs/>
          <w:color w:val="2E4F8C"/>
          <w:sz w:val="24"/>
          <w:szCs w:val="24"/>
        </w:rPr>
        <w:t xml:space="preserve">Part A — The Ethics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A" w:val="clear"/>
            <w:tcMar>
              <w:top w:type="dxa" w:w="120"/>
              <w:left w:type="dxa" w:w="240"/>
              <w:bottom w:type="dxa" w:w="120"/>
              <w:right w:type="dxa" w:w="240"/>
            </w:tcMar>
          </w:tcPr>
          <w:p>
            <w:r>
              <w:rPr>
                <w:rFonts w:ascii="Arial" w:cs="Arial" w:eastAsia="Arial" w:hAnsi="Arial"/>
                <w:i/>
                <w:iCs/>
                <w:color w:val="1F3864"/>
                <w:sz w:val="19"/>
                <w:szCs w:val="19"/>
              </w:rPr>
              <w:t xml:space="preserve">My manager says: "Just close the ticket. The senior VP whose account is involved is in board meetings all week, and we are not going to spoil his quarter."</w:t>
            </w:r>
          </w:p>
        </w:tc>
      </w:tr>
    </w:tbl>
    <w:p>
      <w:pPr>
        <w:spacing w:after="60" w:before="60"/>
      </w:pPr>
    </w:p>
    <w:p>
      <w:pPr>
        <w:spacing w:after="60" w:before="140"/>
      </w:pPr>
      <w:r>
        <w:rPr>
          <w:rFonts w:ascii="Arial" w:cs="Arial" w:eastAsia="Arial" w:hAnsi="Arial"/>
          <w:b/>
          <w:bCs/>
          <w:color w:val="1F3864"/>
          <w:sz w:val="21"/>
          <w:szCs w:val="21"/>
        </w:rPr>
        <w:t xml:space="preserve">What I Would Do</w:t>
      </w:r>
    </w:p>
    <w:p>
      <w:pPr>
        <w:spacing w:after="100" w:before="80"/>
      </w:pPr>
      <w:r>
        <w:rPr>
          <w:rFonts w:ascii="Arial" w:cs="Arial" w:eastAsia="Arial" w:hAnsi="Arial"/>
          <w:sz w:val="20"/>
          <w:szCs w:val="20"/>
        </w:rPr>
        <w:t xml:space="preserve">I would not close the ticket. In the next 24 hours I would take the following steps in this order.</w:t>
      </w:r>
    </w:p>
    <w:p>
      <w:pPr>
        <w:spacing w:after="100" w:before="80"/>
      </w:pPr>
      <w:r>
        <w:rPr>
          <w:rFonts w:ascii="Arial" w:cs="Arial" w:eastAsia="Arial" w:hAnsi="Arial"/>
          <w:sz w:val="20"/>
          <w:szCs w:val="20"/>
        </w:rPr>
        <w:t xml:space="preserve">First, I would document the conversation. The moment my manager makes that request, I write it down — time, exact words, channel — and save it somewhere outside the SIEM ticket system. If this goes wrong, I need a record of who said what and when.</w:t>
      </w:r>
    </w:p>
    <w:p>
      <w:pPr>
        <w:spacing w:after="100" w:before="80"/>
      </w:pPr>
      <w:r>
        <w:rPr>
          <w:rFonts w:ascii="Arial" w:cs="Arial" w:eastAsia="Arial" w:hAnsi="Arial"/>
          <w:sz w:val="20"/>
          <w:szCs w:val="20"/>
        </w:rPr>
        <w:t xml:space="preserve">Second, I would update the ticket itself. I would add an analyst note to SD-40812 (or whichever ticket is in front of me) recording that a decision to close is pending review, and that I have flagged a concern. I would not write the manager's name at this stage. The note creates a timestamp that shows I did not simply comply.</w:t>
      </w:r>
    </w:p>
    <w:p>
      <w:pPr>
        <w:spacing w:after="100" w:before="80"/>
      </w:pPr>
      <w:r>
        <w:rPr>
          <w:rFonts w:ascii="Arial" w:cs="Arial" w:eastAsia="Arial" w:hAnsi="Arial"/>
          <w:sz w:val="20"/>
          <w:szCs w:val="20"/>
        </w:rPr>
        <w:t xml:space="preserve">Third, I would attempt one more direct conversation with my manager. I would say clearly: the threat actor named in encoded-strings.txt is The Griot — the same actor active in at least five Q2 tickets. The exfiltration alert (SD-40826) is CRITICAL severity. Customer and transaction data left the building. Closing this ticket does not make that fact untrue. If my manager still instructs me to close it, I move to escalation.</w:t>
      </w:r>
    </w:p>
    <w:p>
      <w:pPr>
        <w:spacing w:after="100" w:before="80"/>
      </w:pPr>
      <w:r>
        <w:rPr>
          <w:rFonts w:ascii="Arial" w:cs="Arial" w:eastAsia="Arial" w:hAnsi="Arial"/>
          <w:sz w:val="20"/>
          <w:szCs w:val="20"/>
        </w:rPr>
        <w:t xml:space="preserve">Fourth — and only if the direct conversation fails — I escalate to Amaka Eze (Head of Security), who is my manager's direct manager and the person who re-opened SD-40912. I send a written message, not a verbal one. I state the facts: the evidence, the ticket, the manager's instruction, and my concern. I copy no one else at this stage — I give Amaka the first opportunity to act before this reaches the CEO or external bodies.</w:t>
      </w:r>
    </w:p>
    <w:p>
      <w:pPr>
        <w:spacing w:after="60" w:before="140"/>
      </w:pPr>
      <w:r>
        <w:rPr>
          <w:rFonts w:ascii="Arial" w:cs="Arial" w:eastAsia="Arial" w:hAnsi="Arial"/>
          <w:b/>
          <w:bCs/>
          <w:color w:val="1F3864"/>
          <w:sz w:val="21"/>
          <w:szCs w:val="21"/>
        </w:rPr>
        <w:t xml:space="preserve">What I Would NOT Do</w:t>
      </w:r>
    </w:p>
    <w:p>
      <w:pPr>
        <w:spacing w:after="100" w:before="80"/>
      </w:pPr>
      <w:r>
        <w:rPr>
          <w:rFonts w:ascii="Arial" w:cs="Arial" w:eastAsia="Arial" w:hAnsi="Arial"/>
          <w:sz w:val="20"/>
          <w:szCs w:val="20"/>
        </w:rPr>
        <w:t xml:space="preserve">I would not close the ticket. I would not delete or alter any entry in the ticket history. I would not go directly to the CEO (Adaeze Okonkwo) before Amaka has had the chance to respond — bypassing the chain of command unnecessarily creates organisational conflict that may slow the actual response. I would not contact the senior VP directly, since this is not my role and could compromise any subsequent HR or legal process. I would not post anything about this situation to any external channel.</w:t>
      </w:r>
    </w:p>
    <w:p>
      <w:pPr>
        <w:spacing w:after="60" w:before="140"/>
      </w:pPr>
      <w:r>
        <w:rPr>
          <w:rFonts w:ascii="Arial" w:cs="Arial" w:eastAsia="Arial" w:hAnsi="Arial"/>
          <w:b/>
          <w:bCs/>
          <w:color w:val="1F3864"/>
          <w:sz w:val="21"/>
          <w:szCs w:val="21"/>
        </w:rPr>
        <w:t xml:space="preserve">ISC2 Code of Ethics — Applicable Canon</w:t>
      </w:r>
    </w:p>
    <w:p>
      <w:pPr>
        <w:spacing w:after="100" w:before="80"/>
      </w:pPr>
      <w:r>
        <w:rPr>
          <w:rFonts w:ascii="Arial" w:cs="Arial" w:eastAsia="Arial" w:hAnsi="Arial"/>
          <w:sz w:val="20"/>
          <w:szCs w:val="20"/>
        </w:rPr>
        <w:t xml:space="preserve">The canon that applies here is Canon I: Protect Society, the Common Good, the Necessary Public Trust and Confidence in the World of Cybersecurity. This canon is not about abstract principle. Sankofa has a confirmed exfiltration of customer financial data. The customers whose records were in customers.csv are real people with a reasonable expectation that Sankofa protects their data. Closing this ticket to protect a senior VP's quarter is not a business judgement — it is a decision to leave those customers uninformed of a breach that may require regulatory notification under NDPA s.40. The canon requires me to act in the interest of those customers, even when the organisational pressure runs the other way.</w:t>
      </w:r>
    </w:p>
    <w:p>
      <w:pPr>
        <w:spacing w:after="100" w:before="80"/>
      </w:pPr>
      <w:r>
        <w:rPr>
          <w:rFonts w:ascii="Arial" w:cs="Arial" w:eastAsia="Arial" w:hAnsi="Arial"/>
          <w:sz w:val="20"/>
          <w:szCs w:val="20"/>
        </w:rPr>
        <w:t xml:space="preserve">The trade-off is real: I am a new Tier-1 analyst. Pushing back on my manager carries career risk. But the ISC2 Code of Ethics is explicit that professional advancement does not override duty of care to the public. I have completed the D1 evidence table. I know what is in these files. Writing 'probably nothing' now is not a mistake — it is a choice. That is the distinction my manager is asking me to erase, and I will not erase it.</w:t>
      </w:r>
    </w:p>
    <w:p>
      <w:r>
        <w:br w:type="page"/>
      </w:r>
    </w:p>
    <w:p>
      <w:pPr>
        <w:pStyle w:val="Heading2"/>
        <w:spacing w:after="120" w:before="200"/>
      </w:pPr>
      <w:r>
        <w:rPr>
          <w:rFonts w:ascii="Arial" w:cs="Arial" w:eastAsia="Arial" w:hAnsi="Arial"/>
          <w:b/>
          <w:bCs/>
          <w:color w:val="2E4F8C"/>
          <w:sz w:val="24"/>
          <w:szCs w:val="24"/>
        </w:rPr>
        <w:t xml:space="preserve">Part B — The SIEM Alert Scenario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A" w:val="clear"/>
            <w:tcMar>
              <w:top w:type="dxa" w:w="120"/>
              <w:left w:type="dxa" w:w="240"/>
              <w:bottom w:type="dxa" w:w="120"/>
              <w:right w:type="dxa" w:w="240"/>
            </w:tcMar>
          </w:tcPr>
          <w:p>
            <w:r>
              <w:rPr>
                <w:rFonts w:ascii="Arial" w:cs="Arial" w:eastAsia="Arial" w:hAnsi="Arial"/>
                <w:i/>
                <w:iCs/>
                <w:color w:val="1F3864"/>
                <w:sz w:val="19"/>
                <w:szCs w:val="19"/>
              </w:rPr>
              <w:t xml:space="preserve">04:47 WAT, Tuesday night shift. SIEM alert: o.adegoke (Operations Manager) authenticated via publickey from a residential Lagos ISP. Last login: 18:30 yesterday from office. Not on on-call roster. Offboarding ticket SD-40901 open: 'departure date 30 June, key revocation pending'. 30 minutes to handover.</w:t>
            </w:r>
          </w:p>
        </w:tc>
      </w:tr>
    </w:tbl>
    <w:p>
      <w:pPr>
        <w:spacing w:after="60" w:before="60"/>
      </w:pPr>
    </w:p>
    <w:p>
      <w:pPr>
        <w:spacing w:after="60" w:before="140"/>
      </w:pPr>
      <w:r>
        <w:rPr>
          <w:rFonts w:ascii="Arial" w:cs="Arial" w:eastAsia="Arial" w:hAnsi="Arial"/>
          <w:b/>
          <w:bCs/>
          <w:color w:val="1F3864"/>
          <w:sz w:val="21"/>
          <w:szCs w:val="21"/>
        </w:rPr>
        <w:t xml:space="preserve">What I Investigate First, and Why</w:t>
      </w:r>
    </w:p>
    <w:p>
      <w:pPr>
        <w:spacing w:after="100" w:before="80"/>
      </w:pPr>
      <w:r>
        <w:rPr>
          <w:rFonts w:ascii="Arial" w:cs="Arial" w:eastAsia="Arial" w:hAnsi="Arial"/>
          <w:sz w:val="20"/>
          <w:szCs w:val="20"/>
        </w:rPr>
        <w:t xml:space="preserve">The first thing I do is pull the auth log for this session — same source as auth-log-q2.txt but for tonight. I want to know: what IP exactly, what time, and whether any sudo commands followed the authentication, because that is the pattern I documented in D1. In the June incident, the attacker's first action after login was sudo less /var/log/auth.log within two minutes. If I see the same behaviour tonight, this is not an anomaly to monitor — it is an active intrusion in progress.</w:t>
      </w:r>
    </w:p>
    <w:p>
      <w:pPr>
        <w:spacing w:after="100" w:before="80"/>
      </w:pPr>
      <w:r>
        <w:rPr>
          <w:rFonts w:ascii="Arial" w:cs="Arial" w:eastAsia="Arial" w:hAnsi="Arial"/>
          <w:sz w:val="20"/>
          <w:szCs w:val="20"/>
        </w:rPr>
        <w:t xml:space="preserve">While the log is loading, I check SD-40901. The offboarding ticket says 'key revocation pending' with a departure date of 30 June. Today is before 30 June — so the key is technically still valid. But that is exactly the scenario that made the June breach possible: valid credentials, active account, external IP. The fact that this analyst is still within their employment period does not make this safe. It makes it ambiguous, which means it requires escalation, not dismissal.</w:t>
      </w:r>
    </w:p>
    <w:p>
      <w:pPr>
        <w:spacing w:after="100" w:before="80"/>
      </w:pPr>
      <w:r>
        <w:rPr>
          <w:rFonts w:ascii="Arial" w:cs="Arial" w:eastAsia="Arial" w:hAnsi="Arial"/>
          <w:sz w:val="20"/>
          <w:szCs w:val="20"/>
        </w:rPr>
        <w:t xml:space="preserve">I also check the on-call roster. The alert already told me she is not on it. I confirm this so I can state it factually in the escalation — not as speculation.</w:t>
      </w:r>
    </w:p>
    <w:p>
      <w:pPr>
        <w:spacing w:after="60" w:before="140"/>
      </w:pPr>
      <w:r>
        <w:rPr>
          <w:rFonts w:ascii="Arial" w:cs="Arial" w:eastAsia="Arial" w:hAnsi="Arial"/>
          <w:b/>
          <w:bCs/>
          <w:color w:val="1F3864"/>
          <w:sz w:val="21"/>
          <w:szCs w:val="21"/>
        </w:rPr>
        <w:t xml:space="preserve">Escalation — Who, When, and What Triggered It</w:t>
      </w:r>
    </w:p>
    <w:p>
      <w:pPr>
        <w:spacing w:after="100" w:before="80"/>
      </w:pPr>
      <w:r>
        <w:rPr>
          <w:rFonts w:ascii="Arial" w:cs="Arial" w:eastAsia="Arial" w:hAnsi="Arial"/>
          <w:sz w:val="20"/>
          <w:szCs w:val="20"/>
        </w:rPr>
        <w:t xml:space="preserve">I escalate before the 30-minute handover window closes. I do not wait for the handover and let the next shift deal with it — that is the exact process failure D2 documented. The trigger is simple: MEDIUM-severity alert, account with pending offboarding, external residential IP, outside on-call hours. Under the D2 recommendation (dual-signature rule for MEDIUM+ alerts), this ticket cannot be closed by me alone regardless of what I find.</w:t>
      </w:r>
    </w:p>
    <w:p>
      <w:pPr>
        <w:spacing w:after="100" w:before="80"/>
      </w:pPr>
      <w:r>
        <w:rPr>
          <w:rFonts w:ascii="Arial" w:cs="Arial" w:eastAsia="Arial" w:hAnsi="Arial"/>
          <w:sz w:val="20"/>
          <w:szCs w:val="20"/>
        </w:rPr>
        <w:t xml:space="preserve">I contact the on-call Tier 2 analyst or, if unavailable at 04:47 WAT, Tunde Afolabi — because Tunde is the analyst who caught the June breach precisely because he was willing to correlate across tickets outside his immediate queue. My message is brief and factual: ticket ID, account, IP class, on-call status, offboarding state, sudo activity if observed, and a single question — do I suspend the session now or wait for your instruction.</w:t>
      </w:r>
    </w:p>
    <w:p>
      <w:pPr>
        <w:spacing w:after="60" w:before="140"/>
      </w:pPr>
      <w:r>
        <w:rPr>
          <w:rFonts w:ascii="Arial" w:cs="Arial" w:eastAsia="Arial" w:hAnsi="Arial"/>
          <w:b/>
          <w:bCs/>
          <w:color w:val="1F3864"/>
          <w:sz w:val="21"/>
          <w:szCs w:val="21"/>
        </w:rPr>
        <w:t xml:space="preserve">What I Chose NOT to Do</w:t>
      </w:r>
    </w:p>
    <w:p>
      <w:pPr>
        <w:spacing w:after="100" w:before="80"/>
      </w:pPr>
      <w:r>
        <w:rPr>
          <w:rFonts w:ascii="Arial" w:cs="Arial" w:eastAsia="Arial" w:hAnsi="Arial"/>
          <w:sz w:val="20"/>
          <w:szCs w:val="20"/>
        </w:rPr>
        <w:t xml:space="preserve">I do not lock the account before escalation. Locking the account of an employee still within their employment period without manager authorisation could be a serious HR and legal issue, especially if the login turns out to be legitimate — she may be working late on a personal device because of a genuine business need. I do not contact her directly, because if this is an active attacker using her credentials, contacting her tips off the attacker. I do not append this to SD-40901 as a minor update — this is a new SIEM-generated event and it gets its own ticket, with SD-40901 cross-referenced, so the correlation is preserved without burying the alert.</w:t>
      </w:r>
    </w:p>
    <w:p>
      <w:pPr>
        <w:spacing w:after="60" w:before="140"/>
      </w:pPr>
      <w:r>
        <w:rPr>
          <w:rFonts w:ascii="Arial" w:cs="Arial" w:eastAsia="Arial" w:hAnsi="Arial"/>
          <w:b/>
          <w:bCs/>
          <w:color w:val="1F3864"/>
          <w:sz w:val="21"/>
          <w:szCs w:val="21"/>
        </w:rPr>
        <w:t xml:space="preserve">The Handover Note</w:t>
      </w:r>
    </w:p>
    <w:p>
      <w:pPr>
        <w:spacing w:after="100" w:before="80"/>
      </w:pPr>
      <w:r>
        <w:rPr>
          <w:rFonts w:ascii="Arial" w:cs="Arial" w:eastAsia="Arial" w:hAnsi="Arial"/>
          <w:sz w:val="20"/>
          <w:szCs w:val="20"/>
        </w:rPr>
        <w:t xml:space="preserve">04:47 WAT — New SIEM alert: o.adegoke authenticated via publickey from residential Lagos ISP (not corporate subnet). Not on on-call roster. Offboarding active, key revocation pending (SD-40901, departure 30 June). Session sudo activity: [yes/no — to be confirmed from live log]. Alert escalated to [name] at 04:51 WAT. Account not locked pending authorisation. New ticket opened: [ticket ID]. Recommend: confirm whether this session was legitimate before shift end. Do not close by reference to SD-40901. Context: this account type and IP pattern matches the June 2024 intrusion chain (D1 Row 1, D1 Row 2). Treat as MEDIUM minimum until ruled out.</w:t>
      </w:r>
    </w:p>
    <w:p>
      <w:pPr>
        <w:spacing w:after="0" w:before="200"/>
      </w:pP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E4F8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2026-06-01T08:35:22.043Z</dcterms:created>
  <dcterms:modified xsi:type="dcterms:W3CDTF">2026-06-01T08:35:22.043Z</dcterms:modified>
</cp:coreProperties>
</file>

<file path=docProps/custom.xml><?xml version="1.0" encoding="utf-8"?>
<Properties xmlns="http://schemas.openxmlformats.org/officeDocument/2006/custom-properties" xmlns:vt="http://schemas.openxmlformats.org/officeDocument/2006/docPropsVTypes"/>
</file>